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BA4" w:rsidRDefault="00BE6E72">
      <w:pPr>
        <w:spacing w:before="80"/>
        <w:ind w:left="4377" w:right="862" w:hanging="3668"/>
        <w:rPr>
          <w:b/>
          <w:sz w:val="24"/>
        </w:rPr>
      </w:pPr>
      <w:bookmarkStart w:id="0" w:name="_GoBack"/>
      <w:bookmarkEnd w:id="0"/>
      <w:r>
        <w:rPr>
          <w:b/>
          <w:sz w:val="24"/>
        </w:rPr>
        <w:t>TITLE IX Grievance Procedures for Student Reports or Complaints of Sexual Harassment</w:t>
      </w:r>
    </w:p>
    <w:p w:rsidR="00427BA4" w:rsidRDefault="00427BA4">
      <w:pPr>
        <w:pStyle w:val="BodyText"/>
        <w:rPr>
          <w:b/>
          <w:sz w:val="30"/>
        </w:rPr>
      </w:pPr>
    </w:p>
    <w:p w:rsidR="00427BA4" w:rsidRDefault="00A319B5">
      <w:pPr>
        <w:pStyle w:val="BodyText"/>
        <w:ind w:left="100" w:right="269" w:firstLine="75"/>
        <w:jc w:val="both"/>
      </w:pPr>
      <w:r>
        <w:t>When a</w:t>
      </w:r>
      <w:r w:rsidR="00BE6E72">
        <w:t xml:space="preserve"> </w:t>
      </w:r>
      <w:r>
        <w:t>Morehouse Parish School Board</w:t>
      </w:r>
      <w:r w:rsidR="00BE6E72">
        <w:t xml:space="preserve"> staff member or employee has actual knowledge </w:t>
      </w:r>
      <w:r w:rsidR="00BE6E72">
        <w:rPr>
          <w:spacing w:val="-7"/>
        </w:rPr>
        <w:t xml:space="preserve">of </w:t>
      </w:r>
      <w:r w:rsidR="00BE6E72">
        <w:t xml:space="preserve">sexual harassment as defined below involving a student, the response by the administration is required to be prompt and, in a manner, not deliberately indifferent. The response must treat the complainant and respondent equitably and offer supportive measures to both. </w:t>
      </w:r>
      <w:r w:rsidR="00BE6E72">
        <w:rPr>
          <w:spacing w:val="-5"/>
        </w:rPr>
        <w:t xml:space="preserve">The </w:t>
      </w:r>
      <w:r w:rsidR="00BE6E72">
        <w:t xml:space="preserve">Title IX Coordinator, Investigator(s), or Decision-Maker(s) must be free of any a conflict </w:t>
      </w:r>
      <w:r w:rsidR="00BE6E72">
        <w:rPr>
          <w:spacing w:val="-6"/>
        </w:rPr>
        <w:t xml:space="preserve">of </w:t>
      </w:r>
      <w:r w:rsidR="00BE6E72">
        <w:t>interest or bias for or against complainants or respondents generally or the individual complainant or respondent that may affect the outcome of the report or complaint. Different treatment on the basis of sex during a sexual harassment investigation constitutes</w:t>
      </w:r>
      <w:r w:rsidR="00BE6E72">
        <w:rPr>
          <w:spacing w:val="43"/>
        </w:rPr>
        <w:t xml:space="preserve"> </w:t>
      </w:r>
      <w:r w:rsidR="00BE6E72">
        <w:rPr>
          <w:spacing w:val="-6"/>
        </w:rPr>
        <w:t xml:space="preserve">sex </w:t>
      </w:r>
      <w:r w:rsidR="00BE6E72">
        <w:t>discrimination and is specifically prohibited.</w:t>
      </w:r>
    </w:p>
    <w:p w:rsidR="00427BA4" w:rsidRDefault="00427BA4">
      <w:pPr>
        <w:pStyle w:val="BodyText"/>
        <w:spacing w:before="11"/>
        <w:rPr>
          <w:sz w:val="15"/>
        </w:rPr>
      </w:pPr>
    </w:p>
    <w:p w:rsidR="00427BA4" w:rsidRDefault="00BE6E72">
      <w:pPr>
        <w:pStyle w:val="BodyText"/>
        <w:spacing w:before="92"/>
        <w:ind w:left="100"/>
      </w:pPr>
      <w:r>
        <w:rPr>
          <w:spacing w:val="-174"/>
          <w:u w:val="single"/>
        </w:rPr>
        <w:t>D</w:t>
      </w:r>
      <w:r>
        <w:rPr>
          <w:spacing w:val="106"/>
        </w:rPr>
        <w:t xml:space="preserve"> </w:t>
      </w:r>
      <w:r>
        <w:rPr>
          <w:u w:val="single"/>
        </w:rPr>
        <w:t>EFINITIONS</w:t>
      </w:r>
    </w:p>
    <w:p w:rsidR="00427BA4" w:rsidRDefault="00427BA4">
      <w:pPr>
        <w:pStyle w:val="BodyText"/>
        <w:spacing w:before="4"/>
        <w:rPr>
          <w:sz w:val="16"/>
        </w:rPr>
      </w:pPr>
    </w:p>
    <w:p w:rsidR="00427BA4" w:rsidRDefault="00BE6E72">
      <w:pPr>
        <w:pStyle w:val="ListParagraph"/>
        <w:numPr>
          <w:ilvl w:val="0"/>
          <w:numId w:val="13"/>
        </w:numPr>
        <w:tabs>
          <w:tab w:val="left" w:pos="820"/>
        </w:tabs>
        <w:spacing w:before="92"/>
        <w:jc w:val="both"/>
        <w:rPr>
          <w:sz w:val="24"/>
        </w:rPr>
      </w:pPr>
      <w:r>
        <w:rPr>
          <w:sz w:val="24"/>
        </w:rPr>
        <w:t xml:space="preserve">“Actual knowledge” means notice of sexual harassment or allegations of sexual harassment as defined below to Title IX Coordinator or to any employee. Imputation </w:t>
      </w:r>
      <w:r>
        <w:rPr>
          <w:spacing w:val="-7"/>
          <w:sz w:val="24"/>
        </w:rPr>
        <w:t xml:space="preserve">of </w:t>
      </w:r>
      <w:r>
        <w:rPr>
          <w:sz w:val="24"/>
        </w:rPr>
        <w:t xml:space="preserve">knowledge based solely on vicarious liability or constructive notice is insufficient </w:t>
      </w:r>
      <w:r>
        <w:rPr>
          <w:spacing w:val="-7"/>
          <w:sz w:val="24"/>
        </w:rPr>
        <w:t xml:space="preserve">to </w:t>
      </w:r>
      <w:r>
        <w:rPr>
          <w:sz w:val="24"/>
        </w:rPr>
        <w:t>constitute actual knowledge. Actual knowledge does not exist if the only person with actual knowledge is the “respondent” as defined below.</w:t>
      </w:r>
    </w:p>
    <w:p w:rsidR="00427BA4" w:rsidRDefault="00427BA4">
      <w:pPr>
        <w:pStyle w:val="BodyText"/>
        <w:spacing w:before="4"/>
      </w:pPr>
    </w:p>
    <w:p w:rsidR="00427BA4" w:rsidRDefault="00BE6E72">
      <w:pPr>
        <w:pStyle w:val="ListParagraph"/>
        <w:numPr>
          <w:ilvl w:val="0"/>
          <w:numId w:val="13"/>
        </w:numPr>
        <w:tabs>
          <w:tab w:val="left" w:pos="820"/>
        </w:tabs>
        <w:jc w:val="both"/>
        <w:rPr>
          <w:sz w:val="24"/>
        </w:rPr>
      </w:pPr>
      <w:r>
        <w:rPr>
          <w:sz w:val="24"/>
        </w:rPr>
        <w:t xml:space="preserve">“Administrative leave” means placing an employee respondent on administrative </w:t>
      </w:r>
      <w:r>
        <w:rPr>
          <w:spacing w:val="-3"/>
          <w:sz w:val="24"/>
        </w:rPr>
        <w:t xml:space="preserve">leave </w:t>
      </w:r>
      <w:r>
        <w:rPr>
          <w:sz w:val="24"/>
        </w:rPr>
        <w:t>during the pendency of a grievance process. This provision may not be construed to modify any rights under Section 504 of the Rehabilitation Act of 1973 or the Americans with Disabilities Act or regulations promulgated thereunder.</w:t>
      </w:r>
    </w:p>
    <w:p w:rsidR="00427BA4" w:rsidRDefault="00427BA4">
      <w:pPr>
        <w:pStyle w:val="BodyText"/>
        <w:spacing w:before="4"/>
      </w:pPr>
    </w:p>
    <w:p w:rsidR="00427BA4" w:rsidRDefault="00BE6E72">
      <w:pPr>
        <w:pStyle w:val="ListParagraph"/>
        <w:numPr>
          <w:ilvl w:val="0"/>
          <w:numId w:val="13"/>
        </w:numPr>
        <w:tabs>
          <w:tab w:val="left" w:pos="820"/>
        </w:tabs>
        <w:jc w:val="both"/>
        <w:rPr>
          <w:sz w:val="24"/>
        </w:rPr>
      </w:pPr>
      <w:r>
        <w:rPr>
          <w:sz w:val="24"/>
        </w:rPr>
        <w:t xml:space="preserve">“Advisor” is an individual who either the complainant or the respondent may have </w:t>
      </w:r>
      <w:r>
        <w:rPr>
          <w:spacing w:val="-9"/>
          <w:sz w:val="24"/>
        </w:rPr>
        <w:t xml:space="preserve">to </w:t>
      </w:r>
      <w:r>
        <w:rPr>
          <w:sz w:val="24"/>
        </w:rPr>
        <w:t xml:space="preserve">support that party during the course of the complaint process. The advisor need not </w:t>
      </w:r>
      <w:r>
        <w:rPr>
          <w:spacing w:val="-8"/>
          <w:sz w:val="24"/>
        </w:rPr>
        <w:t xml:space="preserve">be </w:t>
      </w:r>
      <w:r>
        <w:rPr>
          <w:sz w:val="24"/>
        </w:rPr>
        <w:t>an attorney. The advisor is at the party’s sole ex</w:t>
      </w:r>
      <w:r w:rsidR="00977BF7">
        <w:rPr>
          <w:sz w:val="24"/>
        </w:rPr>
        <w:t xml:space="preserve">pense, if any. The advisor may </w:t>
      </w:r>
      <w:r>
        <w:rPr>
          <w:sz w:val="24"/>
        </w:rPr>
        <w:t>inspect and review all evidence obtained as part of the investigation that is directly related to the allegations raised in the formal complaint.</w:t>
      </w:r>
    </w:p>
    <w:p w:rsidR="00427BA4" w:rsidRDefault="00427BA4">
      <w:pPr>
        <w:pStyle w:val="BodyText"/>
        <w:spacing w:before="4"/>
      </w:pPr>
    </w:p>
    <w:p w:rsidR="00427BA4" w:rsidRDefault="00BE6E72">
      <w:pPr>
        <w:pStyle w:val="BodyText"/>
        <w:tabs>
          <w:tab w:val="left" w:pos="819"/>
        </w:tabs>
        <w:ind w:left="820" w:right="269" w:hanging="720"/>
      </w:pPr>
      <w:r>
        <w:t>4..</w:t>
      </w:r>
      <w:r>
        <w:tab/>
        <w:t xml:space="preserve">“Complainant” means a student who is alleged to be the victim of conduct that </w:t>
      </w:r>
      <w:r>
        <w:rPr>
          <w:spacing w:val="-3"/>
        </w:rPr>
        <w:t xml:space="preserve">could </w:t>
      </w:r>
      <w:r>
        <w:t>constitute sexual harassment as defined below.</w:t>
      </w:r>
    </w:p>
    <w:p w:rsidR="00427BA4" w:rsidRDefault="00427BA4">
      <w:pPr>
        <w:pStyle w:val="BodyText"/>
        <w:spacing w:before="4"/>
      </w:pPr>
    </w:p>
    <w:p w:rsidR="00427BA4" w:rsidRDefault="00BE6E72">
      <w:pPr>
        <w:pStyle w:val="ListParagraph"/>
        <w:numPr>
          <w:ilvl w:val="0"/>
          <w:numId w:val="12"/>
        </w:numPr>
        <w:tabs>
          <w:tab w:val="left" w:pos="820"/>
        </w:tabs>
        <w:spacing w:line="259" w:lineRule="auto"/>
        <w:ind w:right="119"/>
        <w:jc w:val="both"/>
        <w:rPr>
          <w:sz w:val="24"/>
        </w:rPr>
      </w:pPr>
      <w:r>
        <w:rPr>
          <w:sz w:val="24"/>
        </w:rPr>
        <w:t xml:space="preserve">“Consent” for sexual activity may be manifest in the voluntary words or actions of a student over the age of 12 to someone not greater than three (3) years older than </w:t>
      </w:r>
      <w:r>
        <w:rPr>
          <w:spacing w:val="-4"/>
          <w:sz w:val="24"/>
        </w:rPr>
        <w:t>the</w:t>
      </w:r>
      <w:r>
        <w:rPr>
          <w:spacing w:val="58"/>
          <w:sz w:val="24"/>
        </w:rPr>
        <w:t xml:space="preserve"> </w:t>
      </w:r>
      <w:r>
        <w:rPr>
          <w:sz w:val="24"/>
        </w:rPr>
        <w:t>student, conveying a willingness to engage in a sexual act. Consent does not include the</w:t>
      </w:r>
      <w:r>
        <w:rPr>
          <w:spacing w:val="21"/>
          <w:sz w:val="24"/>
        </w:rPr>
        <w:t xml:space="preserve"> </w:t>
      </w:r>
      <w:r>
        <w:rPr>
          <w:sz w:val="24"/>
        </w:rPr>
        <w:t>following:</w:t>
      </w:r>
      <w:r>
        <w:rPr>
          <w:spacing w:val="22"/>
          <w:sz w:val="24"/>
        </w:rPr>
        <w:t xml:space="preserve"> </w:t>
      </w:r>
      <w:r>
        <w:rPr>
          <w:sz w:val="24"/>
        </w:rPr>
        <w:t>(a)</w:t>
      </w:r>
      <w:r>
        <w:rPr>
          <w:spacing w:val="22"/>
          <w:sz w:val="24"/>
        </w:rPr>
        <w:t xml:space="preserve"> </w:t>
      </w:r>
      <w:r>
        <w:rPr>
          <w:sz w:val="24"/>
        </w:rPr>
        <w:t>a</w:t>
      </w:r>
      <w:r>
        <w:rPr>
          <w:spacing w:val="22"/>
          <w:sz w:val="24"/>
        </w:rPr>
        <w:t xml:space="preserve"> </w:t>
      </w:r>
      <w:r>
        <w:rPr>
          <w:sz w:val="24"/>
        </w:rPr>
        <w:t>student’s</w:t>
      </w:r>
      <w:r>
        <w:rPr>
          <w:spacing w:val="22"/>
          <w:sz w:val="24"/>
        </w:rPr>
        <w:t xml:space="preserve"> </w:t>
      </w:r>
      <w:r>
        <w:rPr>
          <w:sz w:val="24"/>
        </w:rPr>
        <w:t>words</w:t>
      </w:r>
      <w:r>
        <w:rPr>
          <w:spacing w:val="21"/>
          <w:sz w:val="24"/>
        </w:rPr>
        <w:t xml:space="preserve"> </w:t>
      </w:r>
      <w:r>
        <w:rPr>
          <w:sz w:val="24"/>
        </w:rPr>
        <w:t>or</w:t>
      </w:r>
      <w:r>
        <w:rPr>
          <w:spacing w:val="22"/>
          <w:sz w:val="24"/>
        </w:rPr>
        <w:t xml:space="preserve"> </w:t>
      </w:r>
      <w:r>
        <w:rPr>
          <w:sz w:val="24"/>
        </w:rPr>
        <w:t>actions</w:t>
      </w:r>
      <w:r>
        <w:rPr>
          <w:spacing w:val="22"/>
          <w:sz w:val="24"/>
        </w:rPr>
        <w:t xml:space="preserve"> </w:t>
      </w:r>
      <w:r>
        <w:rPr>
          <w:sz w:val="24"/>
        </w:rPr>
        <w:t>conveyed</w:t>
      </w:r>
      <w:r>
        <w:rPr>
          <w:spacing w:val="22"/>
          <w:sz w:val="24"/>
        </w:rPr>
        <w:t xml:space="preserve"> </w:t>
      </w:r>
      <w:r>
        <w:rPr>
          <w:sz w:val="24"/>
        </w:rPr>
        <w:t>to</w:t>
      </w:r>
      <w:r>
        <w:rPr>
          <w:spacing w:val="22"/>
          <w:sz w:val="24"/>
        </w:rPr>
        <w:t xml:space="preserve"> </w:t>
      </w:r>
      <w:r>
        <w:rPr>
          <w:sz w:val="24"/>
        </w:rPr>
        <w:t>a</w:t>
      </w:r>
      <w:r>
        <w:rPr>
          <w:spacing w:val="21"/>
          <w:sz w:val="24"/>
        </w:rPr>
        <w:t xml:space="preserve"> </w:t>
      </w:r>
      <w:r>
        <w:rPr>
          <w:sz w:val="24"/>
        </w:rPr>
        <w:t>school</w:t>
      </w:r>
      <w:r>
        <w:rPr>
          <w:spacing w:val="22"/>
          <w:sz w:val="24"/>
        </w:rPr>
        <w:t xml:space="preserve"> </w:t>
      </w:r>
      <w:r>
        <w:rPr>
          <w:sz w:val="24"/>
        </w:rPr>
        <w:t>district</w:t>
      </w:r>
      <w:r>
        <w:rPr>
          <w:spacing w:val="22"/>
          <w:sz w:val="24"/>
        </w:rPr>
        <w:t xml:space="preserve"> </w:t>
      </w:r>
      <w:r>
        <w:rPr>
          <w:sz w:val="24"/>
        </w:rPr>
        <w:t>employee;</w:t>
      </w:r>
    </w:p>
    <w:p w:rsidR="00427BA4" w:rsidRDefault="00BE6E72">
      <w:pPr>
        <w:pStyle w:val="BodyText"/>
        <w:spacing w:line="259" w:lineRule="auto"/>
        <w:ind w:left="820" w:right="119"/>
        <w:jc w:val="both"/>
      </w:pPr>
      <w:r>
        <w:t>(b) words or actions of a student who is incapable of resisting or of understanding the nature of the act by reason of a stupor or abnormal condition of mind produced by an intoxicating agent or any cause and the offender knew or should have known of the student’s incapacity, and (c) words or actions of a student who has mental or physical infirmities which the offender knew or should have known to be significant.</w:t>
      </w:r>
    </w:p>
    <w:p w:rsidR="00427BA4" w:rsidRDefault="00427BA4">
      <w:pPr>
        <w:spacing w:line="259" w:lineRule="auto"/>
        <w:jc w:val="both"/>
        <w:sectPr w:rsidR="00427BA4">
          <w:footerReference w:type="default" r:id="rId7"/>
          <w:type w:val="continuous"/>
          <w:pgSz w:w="12240" w:h="15840"/>
          <w:pgMar w:top="1360" w:right="960" w:bottom="1200" w:left="980" w:header="720" w:footer="1016" w:gutter="0"/>
          <w:pgNumType w:start="1"/>
          <w:cols w:space="720"/>
        </w:sectPr>
      </w:pPr>
    </w:p>
    <w:p w:rsidR="00427BA4" w:rsidRDefault="00BE6E72">
      <w:pPr>
        <w:pStyle w:val="ListParagraph"/>
        <w:numPr>
          <w:ilvl w:val="0"/>
          <w:numId w:val="12"/>
        </w:numPr>
        <w:tabs>
          <w:tab w:val="left" w:pos="820"/>
        </w:tabs>
        <w:spacing w:before="80"/>
        <w:jc w:val="both"/>
        <w:rPr>
          <w:sz w:val="24"/>
        </w:rPr>
      </w:pPr>
      <w:r>
        <w:rPr>
          <w:sz w:val="24"/>
        </w:rPr>
        <w:lastRenderedPageBreak/>
        <w:t xml:space="preserve">“Decision-Maker” is someone other than the Title IX Coordinator or Investigator. </w:t>
      </w:r>
      <w:r>
        <w:rPr>
          <w:spacing w:val="-4"/>
          <w:sz w:val="24"/>
        </w:rPr>
        <w:t>For</w:t>
      </w:r>
      <w:r>
        <w:rPr>
          <w:spacing w:val="58"/>
          <w:sz w:val="24"/>
        </w:rPr>
        <w:t xml:space="preserve"> </w:t>
      </w:r>
      <w:r>
        <w:rPr>
          <w:sz w:val="24"/>
        </w:rPr>
        <w:t xml:space="preserve">the </w:t>
      </w:r>
      <w:r w:rsidR="00A319B5">
        <w:rPr>
          <w:sz w:val="24"/>
        </w:rPr>
        <w:t>Morehouse Parish School Board</w:t>
      </w:r>
      <w:r>
        <w:rPr>
          <w:sz w:val="24"/>
        </w:rPr>
        <w:t>, the Decision</w:t>
      </w:r>
      <w:r w:rsidR="00F25D7B">
        <w:rPr>
          <w:sz w:val="24"/>
        </w:rPr>
        <w:t>-Maker is a district supervisor.</w:t>
      </w:r>
      <w:r>
        <w:rPr>
          <w:sz w:val="24"/>
        </w:rPr>
        <w:t xml:space="preserve"> The Decision-Maker issues a written </w:t>
      </w:r>
      <w:r>
        <w:rPr>
          <w:spacing w:val="-2"/>
          <w:sz w:val="24"/>
        </w:rPr>
        <w:t xml:space="preserve">determination </w:t>
      </w:r>
      <w:r>
        <w:rPr>
          <w:sz w:val="24"/>
        </w:rPr>
        <w:t>regarding responsibility based on the complaint investigative report.</w:t>
      </w:r>
    </w:p>
    <w:p w:rsidR="00427BA4" w:rsidRDefault="00427BA4">
      <w:pPr>
        <w:pStyle w:val="BodyText"/>
        <w:spacing w:before="4"/>
      </w:pPr>
    </w:p>
    <w:p w:rsidR="00427BA4" w:rsidRDefault="00BE6E72">
      <w:pPr>
        <w:pStyle w:val="ListParagraph"/>
        <w:numPr>
          <w:ilvl w:val="0"/>
          <w:numId w:val="12"/>
        </w:numPr>
        <w:tabs>
          <w:tab w:val="left" w:pos="820"/>
        </w:tabs>
        <w:jc w:val="both"/>
        <w:rPr>
          <w:sz w:val="24"/>
        </w:rPr>
      </w:pPr>
      <w:r>
        <w:rPr>
          <w:sz w:val="24"/>
        </w:rPr>
        <w:t xml:space="preserve">“Education program or activity” includes any school, administrative building and </w:t>
      </w:r>
      <w:r>
        <w:rPr>
          <w:spacing w:val="-5"/>
          <w:sz w:val="24"/>
        </w:rPr>
        <w:t xml:space="preserve">any </w:t>
      </w:r>
      <w:r w:rsidR="00A319B5">
        <w:rPr>
          <w:sz w:val="24"/>
        </w:rPr>
        <w:t>Morehouse Parish School Board</w:t>
      </w:r>
      <w:r>
        <w:rPr>
          <w:sz w:val="24"/>
        </w:rPr>
        <w:t xml:space="preserve"> location, event, or circumstance over which the </w:t>
      </w:r>
      <w:r w:rsidR="00A319B5">
        <w:rPr>
          <w:spacing w:val="-3"/>
          <w:sz w:val="24"/>
        </w:rPr>
        <w:t>Morehouse Parish School Board</w:t>
      </w:r>
      <w:r>
        <w:rPr>
          <w:sz w:val="24"/>
        </w:rPr>
        <w:t xml:space="preserve"> and its employees and staff have or exhibit substantial </w:t>
      </w:r>
      <w:r>
        <w:rPr>
          <w:spacing w:val="-3"/>
          <w:sz w:val="24"/>
        </w:rPr>
        <w:t xml:space="preserve">control </w:t>
      </w:r>
      <w:r>
        <w:rPr>
          <w:sz w:val="24"/>
        </w:rPr>
        <w:t xml:space="preserve">over students and the context in which harassment occurred. Use of </w:t>
      </w:r>
      <w:r w:rsidR="00A319B5">
        <w:rPr>
          <w:sz w:val="24"/>
        </w:rPr>
        <w:t>Morehouse Parish School Board</w:t>
      </w:r>
      <w:r>
        <w:rPr>
          <w:sz w:val="24"/>
        </w:rPr>
        <w:t xml:space="preserve"> resources such as e-mail, the Internet, postal mail, handwritten, or </w:t>
      </w:r>
      <w:r>
        <w:rPr>
          <w:spacing w:val="-4"/>
          <w:sz w:val="24"/>
        </w:rPr>
        <w:t xml:space="preserve">other </w:t>
      </w:r>
      <w:r>
        <w:rPr>
          <w:sz w:val="24"/>
        </w:rPr>
        <w:t>communications are possible methods of sexual harassment as defined below.</w:t>
      </w:r>
    </w:p>
    <w:p w:rsidR="00427BA4" w:rsidRDefault="00427BA4">
      <w:pPr>
        <w:pStyle w:val="BodyText"/>
        <w:spacing w:before="4"/>
      </w:pPr>
    </w:p>
    <w:p w:rsidR="00427BA4" w:rsidRDefault="00BE6E72">
      <w:pPr>
        <w:pStyle w:val="ListParagraph"/>
        <w:numPr>
          <w:ilvl w:val="0"/>
          <w:numId w:val="12"/>
        </w:numPr>
        <w:tabs>
          <w:tab w:val="left" w:pos="886"/>
        </w:tabs>
        <w:jc w:val="both"/>
        <w:rPr>
          <w:sz w:val="24"/>
        </w:rPr>
      </w:pPr>
      <w:r>
        <w:tab/>
      </w:r>
      <w:r>
        <w:rPr>
          <w:sz w:val="24"/>
        </w:rPr>
        <w:t xml:space="preserve">“Emergency removal” means removing a respondent student from </w:t>
      </w:r>
      <w:r w:rsidR="00A319B5">
        <w:rPr>
          <w:sz w:val="24"/>
        </w:rPr>
        <w:t>Morehouse Parish School Board</w:t>
      </w:r>
      <w:r>
        <w:rPr>
          <w:sz w:val="24"/>
        </w:rPr>
        <w:t xml:space="preserve">’s education program or activity on an emergency basis, provided </w:t>
      </w:r>
      <w:r>
        <w:rPr>
          <w:spacing w:val="-3"/>
          <w:sz w:val="24"/>
        </w:rPr>
        <w:t xml:space="preserve">that </w:t>
      </w:r>
      <w:r>
        <w:rPr>
          <w:sz w:val="24"/>
        </w:rPr>
        <w:t xml:space="preserve">the Title IX Coordinator undertakes an individualized safety and risk analysis, </w:t>
      </w:r>
      <w:r>
        <w:rPr>
          <w:spacing w:val="-4"/>
          <w:sz w:val="24"/>
        </w:rPr>
        <w:t xml:space="preserve">and </w:t>
      </w:r>
      <w:r>
        <w:rPr>
          <w:sz w:val="24"/>
        </w:rPr>
        <w:t xml:space="preserve">determines that an immediate threat to the physical health or safety of any student </w:t>
      </w:r>
      <w:r>
        <w:rPr>
          <w:spacing w:val="-6"/>
          <w:sz w:val="24"/>
        </w:rPr>
        <w:t xml:space="preserve">or </w:t>
      </w:r>
      <w:r>
        <w:rPr>
          <w:sz w:val="24"/>
        </w:rPr>
        <w:t xml:space="preserve">other individual arising from the allegations of sexual harassment justifies </w:t>
      </w:r>
      <w:r>
        <w:rPr>
          <w:spacing w:val="-3"/>
          <w:sz w:val="24"/>
        </w:rPr>
        <w:t>removal.</w:t>
      </w:r>
      <w:r>
        <w:rPr>
          <w:spacing w:val="60"/>
          <w:sz w:val="24"/>
        </w:rPr>
        <w:t xml:space="preserve"> </w:t>
      </w:r>
      <w:r>
        <w:rPr>
          <w:sz w:val="24"/>
        </w:rPr>
        <w:t xml:space="preserve">The Title IX Coordinator also provides the respondent with notice and an opportunity to challenge the decision immediately following the removal. This provision may not </w:t>
      </w:r>
      <w:r>
        <w:rPr>
          <w:spacing w:val="-6"/>
          <w:sz w:val="24"/>
        </w:rPr>
        <w:t xml:space="preserve">be </w:t>
      </w:r>
      <w:r>
        <w:rPr>
          <w:sz w:val="24"/>
        </w:rPr>
        <w:t xml:space="preserve">construed to modify any rights under the Individuals with Disabilities Education </w:t>
      </w:r>
      <w:r>
        <w:rPr>
          <w:spacing w:val="-5"/>
          <w:sz w:val="24"/>
        </w:rPr>
        <w:t xml:space="preserve">Act, </w:t>
      </w:r>
      <w:r>
        <w:rPr>
          <w:sz w:val="24"/>
        </w:rPr>
        <w:t>Section 504 of the Rehabilitation Act of 1973, or the Americans with Disabilities Act.</w:t>
      </w:r>
    </w:p>
    <w:p w:rsidR="00427BA4" w:rsidRDefault="00427BA4">
      <w:pPr>
        <w:pStyle w:val="BodyText"/>
        <w:spacing w:before="4"/>
      </w:pPr>
    </w:p>
    <w:p w:rsidR="00427BA4" w:rsidRDefault="00BE6E72">
      <w:pPr>
        <w:pStyle w:val="ListParagraph"/>
        <w:numPr>
          <w:ilvl w:val="0"/>
          <w:numId w:val="12"/>
        </w:numPr>
        <w:tabs>
          <w:tab w:val="left" w:pos="820"/>
        </w:tabs>
        <w:jc w:val="both"/>
        <w:rPr>
          <w:sz w:val="24"/>
        </w:rPr>
      </w:pPr>
      <w:r>
        <w:rPr>
          <w:sz w:val="24"/>
        </w:rPr>
        <w:t xml:space="preserve">“Formal complaint” means a document filed by a complainant (victim) or signed by </w:t>
      </w:r>
      <w:r>
        <w:rPr>
          <w:spacing w:val="-4"/>
          <w:sz w:val="24"/>
        </w:rPr>
        <w:t xml:space="preserve">the </w:t>
      </w:r>
      <w:r>
        <w:rPr>
          <w:sz w:val="24"/>
        </w:rPr>
        <w:t xml:space="preserve">Title IX Coordinator alleging sexual harassment (as defined below) against </w:t>
      </w:r>
      <w:r>
        <w:rPr>
          <w:spacing w:val="-14"/>
          <w:sz w:val="24"/>
        </w:rPr>
        <w:t xml:space="preserve">a </w:t>
      </w:r>
      <w:r>
        <w:rPr>
          <w:sz w:val="24"/>
        </w:rPr>
        <w:t xml:space="preserve">respondent and requesting an investigation of an allegation of sexual harassment. </w:t>
      </w:r>
      <w:r>
        <w:rPr>
          <w:spacing w:val="-4"/>
          <w:sz w:val="24"/>
        </w:rPr>
        <w:t xml:space="preserve">The </w:t>
      </w:r>
      <w:r>
        <w:rPr>
          <w:sz w:val="24"/>
        </w:rPr>
        <w:t xml:space="preserve">complaint may be filed with the Title IX Coordinator in person, by mail, and/or </w:t>
      </w:r>
      <w:r>
        <w:rPr>
          <w:spacing w:val="-8"/>
          <w:sz w:val="24"/>
        </w:rPr>
        <w:t xml:space="preserve">by </w:t>
      </w:r>
      <w:r>
        <w:rPr>
          <w:sz w:val="24"/>
        </w:rPr>
        <w:t xml:space="preserve">electronic means. “Document filed by complainant” means a document or electronic submission, such as by electronic mail or through an online portal, and contains </w:t>
      </w:r>
      <w:r>
        <w:rPr>
          <w:spacing w:val="-6"/>
          <w:sz w:val="24"/>
        </w:rPr>
        <w:t xml:space="preserve">the </w:t>
      </w:r>
      <w:r>
        <w:rPr>
          <w:sz w:val="24"/>
        </w:rPr>
        <w:t xml:space="preserve">complaint’s physical or digital signature or otherwise indicates that the complainant </w:t>
      </w:r>
      <w:r>
        <w:rPr>
          <w:spacing w:val="-7"/>
          <w:sz w:val="24"/>
        </w:rPr>
        <w:t xml:space="preserve">is </w:t>
      </w:r>
      <w:r>
        <w:rPr>
          <w:sz w:val="24"/>
        </w:rPr>
        <w:t xml:space="preserve">the person filing the formal complaint. Where the Title IX Coordinator signs a </w:t>
      </w:r>
      <w:r>
        <w:rPr>
          <w:spacing w:val="-3"/>
          <w:sz w:val="24"/>
        </w:rPr>
        <w:t xml:space="preserve">formal </w:t>
      </w:r>
      <w:r>
        <w:rPr>
          <w:sz w:val="24"/>
        </w:rPr>
        <w:t>complaint, the Title IX Coordinator is not a complainant or otherwise a party.</w:t>
      </w:r>
    </w:p>
    <w:p w:rsidR="00427BA4" w:rsidRDefault="00427BA4">
      <w:pPr>
        <w:pStyle w:val="BodyText"/>
      </w:pPr>
    </w:p>
    <w:p w:rsidR="00427BA4" w:rsidRDefault="00BE6E72">
      <w:pPr>
        <w:pStyle w:val="ListParagraph"/>
        <w:numPr>
          <w:ilvl w:val="0"/>
          <w:numId w:val="12"/>
        </w:numPr>
        <w:tabs>
          <w:tab w:val="left" w:pos="820"/>
        </w:tabs>
        <w:jc w:val="both"/>
        <w:rPr>
          <w:sz w:val="24"/>
        </w:rPr>
      </w:pPr>
      <w:r>
        <w:rPr>
          <w:sz w:val="24"/>
        </w:rPr>
        <w:t xml:space="preserve">“Investigator” is the person designated by the Title IX Coordinator to investigate allegations which may constitute “sexual harassment” (as defined below) and </w:t>
      </w:r>
      <w:r>
        <w:rPr>
          <w:spacing w:val="-6"/>
          <w:sz w:val="24"/>
        </w:rPr>
        <w:t xml:space="preserve">to </w:t>
      </w:r>
      <w:r>
        <w:rPr>
          <w:sz w:val="24"/>
        </w:rPr>
        <w:t xml:space="preserve">produce an investigate report. The Investigator may be the Title IX Coordinator, but </w:t>
      </w:r>
      <w:r>
        <w:rPr>
          <w:spacing w:val="-9"/>
          <w:sz w:val="24"/>
        </w:rPr>
        <w:t xml:space="preserve">in </w:t>
      </w:r>
      <w:r>
        <w:rPr>
          <w:sz w:val="24"/>
        </w:rPr>
        <w:t>no instance can the Investigator also be the “Decision-Maker” (as defined above).</w:t>
      </w:r>
    </w:p>
    <w:p w:rsidR="00427BA4" w:rsidRDefault="00427BA4">
      <w:pPr>
        <w:pStyle w:val="BodyText"/>
      </w:pPr>
    </w:p>
    <w:p w:rsidR="00427BA4" w:rsidRDefault="00BE6E72">
      <w:pPr>
        <w:pStyle w:val="ListParagraph"/>
        <w:numPr>
          <w:ilvl w:val="0"/>
          <w:numId w:val="12"/>
        </w:numPr>
        <w:tabs>
          <w:tab w:val="left" w:pos="820"/>
        </w:tabs>
        <w:jc w:val="both"/>
        <w:rPr>
          <w:sz w:val="24"/>
        </w:rPr>
      </w:pPr>
      <w:r>
        <w:rPr>
          <w:sz w:val="24"/>
        </w:rPr>
        <w:t xml:space="preserve">“Notice” results whenever any </w:t>
      </w:r>
      <w:r w:rsidR="00A319B5">
        <w:rPr>
          <w:sz w:val="24"/>
        </w:rPr>
        <w:t>Morehouse Parish School Board</w:t>
      </w:r>
      <w:r>
        <w:rPr>
          <w:sz w:val="24"/>
        </w:rPr>
        <w:t xml:space="preserve"> employee, Title </w:t>
      </w:r>
      <w:r>
        <w:rPr>
          <w:spacing w:val="-7"/>
          <w:sz w:val="24"/>
        </w:rPr>
        <w:t xml:space="preserve">IX </w:t>
      </w:r>
      <w:r>
        <w:rPr>
          <w:sz w:val="24"/>
        </w:rPr>
        <w:t xml:space="preserve">Coordinator, or any official with authority witnesses sexual harassment (as defined below); hears about sexual harassment or sexual allegations from a victim or a </w:t>
      </w:r>
      <w:r>
        <w:rPr>
          <w:spacing w:val="-4"/>
          <w:sz w:val="24"/>
        </w:rPr>
        <w:t>third</w:t>
      </w:r>
      <w:r>
        <w:rPr>
          <w:spacing w:val="58"/>
          <w:sz w:val="24"/>
        </w:rPr>
        <w:t xml:space="preserve"> </w:t>
      </w:r>
      <w:r>
        <w:rPr>
          <w:sz w:val="24"/>
        </w:rPr>
        <w:t xml:space="preserve">party (e.g., the victim’s parent or guardian, friend, or peer); receives a written or </w:t>
      </w:r>
      <w:r>
        <w:rPr>
          <w:spacing w:val="-3"/>
          <w:sz w:val="24"/>
        </w:rPr>
        <w:t xml:space="preserve">verbal </w:t>
      </w:r>
      <w:r>
        <w:rPr>
          <w:sz w:val="24"/>
        </w:rPr>
        <w:t xml:space="preserve">report about sexual harassment or allegations of sexual harassment; or by any </w:t>
      </w:r>
      <w:r>
        <w:rPr>
          <w:spacing w:val="-3"/>
          <w:sz w:val="24"/>
        </w:rPr>
        <w:t xml:space="preserve">other </w:t>
      </w:r>
      <w:r>
        <w:rPr>
          <w:sz w:val="24"/>
        </w:rPr>
        <w:t>means.</w:t>
      </w:r>
    </w:p>
    <w:p w:rsidR="00427BA4" w:rsidRDefault="00427BA4">
      <w:pPr>
        <w:pStyle w:val="BodyText"/>
      </w:pPr>
    </w:p>
    <w:p w:rsidR="00427BA4" w:rsidRDefault="00BE6E72">
      <w:pPr>
        <w:pStyle w:val="ListParagraph"/>
        <w:numPr>
          <w:ilvl w:val="0"/>
          <w:numId w:val="12"/>
        </w:numPr>
        <w:tabs>
          <w:tab w:val="left" w:pos="820"/>
        </w:tabs>
        <w:jc w:val="both"/>
        <w:rPr>
          <w:sz w:val="24"/>
        </w:rPr>
      </w:pPr>
      <w:r>
        <w:rPr>
          <w:sz w:val="24"/>
        </w:rPr>
        <w:t xml:space="preserve">“Remedies” are what the </w:t>
      </w:r>
      <w:r w:rsidR="00A319B5">
        <w:rPr>
          <w:sz w:val="24"/>
        </w:rPr>
        <w:t>Morehouse Parish School Board</w:t>
      </w:r>
      <w:r>
        <w:rPr>
          <w:sz w:val="24"/>
        </w:rPr>
        <w:t xml:space="preserve"> provides to the complainant and to</w:t>
      </w:r>
      <w:r>
        <w:rPr>
          <w:spacing w:val="12"/>
          <w:sz w:val="24"/>
        </w:rPr>
        <w:t xml:space="preserve"> </w:t>
      </w:r>
      <w:r>
        <w:rPr>
          <w:sz w:val="24"/>
        </w:rPr>
        <w:t>the</w:t>
      </w:r>
      <w:r>
        <w:rPr>
          <w:spacing w:val="12"/>
          <w:sz w:val="24"/>
        </w:rPr>
        <w:t xml:space="preserve"> </w:t>
      </w:r>
      <w:r>
        <w:rPr>
          <w:sz w:val="24"/>
        </w:rPr>
        <w:t>respondent,</w:t>
      </w:r>
      <w:r>
        <w:rPr>
          <w:spacing w:val="12"/>
          <w:sz w:val="24"/>
        </w:rPr>
        <w:t xml:space="preserve"> </w:t>
      </w:r>
      <w:r>
        <w:rPr>
          <w:sz w:val="24"/>
        </w:rPr>
        <w:t>after</w:t>
      </w:r>
      <w:r>
        <w:rPr>
          <w:spacing w:val="12"/>
          <w:sz w:val="24"/>
        </w:rPr>
        <w:t xml:space="preserve"> </w:t>
      </w:r>
      <w:r>
        <w:rPr>
          <w:sz w:val="24"/>
        </w:rPr>
        <w:t>the</w:t>
      </w:r>
      <w:r>
        <w:rPr>
          <w:spacing w:val="12"/>
          <w:sz w:val="24"/>
        </w:rPr>
        <w:t xml:space="preserve"> </w:t>
      </w:r>
      <w:r w:rsidR="00A319B5">
        <w:rPr>
          <w:sz w:val="24"/>
        </w:rPr>
        <w:t>Morehouse Parish School Board</w:t>
      </w:r>
      <w:r>
        <w:rPr>
          <w:spacing w:val="12"/>
          <w:sz w:val="24"/>
        </w:rPr>
        <w:t xml:space="preserve"> </w:t>
      </w:r>
      <w:r>
        <w:rPr>
          <w:sz w:val="24"/>
        </w:rPr>
        <w:t>has</w:t>
      </w:r>
      <w:r>
        <w:rPr>
          <w:spacing w:val="13"/>
          <w:sz w:val="24"/>
        </w:rPr>
        <w:t xml:space="preserve"> </w:t>
      </w:r>
      <w:r>
        <w:rPr>
          <w:sz w:val="24"/>
        </w:rPr>
        <w:t>made</w:t>
      </w:r>
      <w:r>
        <w:rPr>
          <w:spacing w:val="12"/>
          <w:sz w:val="24"/>
        </w:rPr>
        <w:t xml:space="preserve"> </w:t>
      </w:r>
      <w:r>
        <w:rPr>
          <w:sz w:val="24"/>
        </w:rPr>
        <w:t>a</w:t>
      </w:r>
      <w:r>
        <w:rPr>
          <w:spacing w:val="12"/>
          <w:sz w:val="24"/>
        </w:rPr>
        <w:t xml:space="preserve"> </w:t>
      </w:r>
      <w:r>
        <w:rPr>
          <w:sz w:val="24"/>
        </w:rPr>
        <w:t>determination</w:t>
      </w:r>
      <w:r>
        <w:rPr>
          <w:spacing w:val="12"/>
          <w:sz w:val="24"/>
        </w:rPr>
        <w:t xml:space="preserve"> </w:t>
      </w:r>
      <w:r>
        <w:rPr>
          <w:spacing w:val="-6"/>
          <w:sz w:val="24"/>
        </w:rPr>
        <w:t>of</w:t>
      </w:r>
    </w:p>
    <w:p w:rsidR="00427BA4" w:rsidRDefault="00427BA4">
      <w:pPr>
        <w:jc w:val="both"/>
        <w:rPr>
          <w:sz w:val="24"/>
        </w:rPr>
        <w:sectPr w:rsidR="00427BA4">
          <w:pgSz w:w="12240" w:h="15840"/>
          <w:pgMar w:top="1360" w:right="960" w:bottom="1200" w:left="980" w:header="0" w:footer="1016" w:gutter="0"/>
          <w:cols w:space="720"/>
        </w:sectPr>
      </w:pPr>
    </w:p>
    <w:p w:rsidR="00427BA4" w:rsidRDefault="00BE6E72">
      <w:pPr>
        <w:pStyle w:val="BodyText"/>
        <w:spacing w:before="80"/>
        <w:ind w:left="820" w:right="269"/>
        <w:jc w:val="both"/>
      </w:pPr>
      <w:r>
        <w:lastRenderedPageBreak/>
        <w:t xml:space="preserve">responsibility for sexual harassment against the respondent via the grievance process. Remedies may include supportive measures (as defined below) designed to restore or preserve equal access to </w:t>
      </w:r>
      <w:r w:rsidR="00A319B5">
        <w:t>Morehouse Parish School Board</w:t>
      </w:r>
      <w:r>
        <w:t xml:space="preserve"> s education program or activity and may be disciplinary and/or punitive in nature with respect to the respondent. Remedies also include disciplinary sanctions which, for employees may include all available disciplinary action up to and including termination and, for students, all available disciplinary action up to and including expulsion.</w:t>
      </w:r>
    </w:p>
    <w:p w:rsidR="00427BA4" w:rsidRDefault="00427BA4">
      <w:pPr>
        <w:pStyle w:val="BodyText"/>
        <w:spacing w:before="4"/>
      </w:pPr>
    </w:p>
    <w:p w:rsidR="00427BA4" w:rsidRDefault="00BE6E72">
      <w:pPr>
        <w:pStyle w:val="ListParagraph"/>
        <w:numPr>
          <w:ilvl w:val="0"/>
          <w:numId w:val="12"/>
        </w:numPr>
        <w:tabs>
          <w:tab w:val="left" w:pos="819"/>
          <w:tab w:val="left" w:pos="820"/>
        </w:tabs>
        <w:rPr>
          <w:sz w:val="24"/>
        </w:rPr>
      </w:pPr>
      <w:r>
        <w:rPr>
          <w:sz w:val="24"/>
        </w:rPr>
        <w:t xml:space="preserve">“Respondent” means a student or employee who has been reported to be </w:t>
      </w:r>
      <w:r>
        <w:rPr>
          <w:spacing w:val="-6"/>
          <w:sz w:val="24"/>
        </w:rPr>
        <w:t xml:space="preserve">the </w:t>
      </w:r>
      <w:r>
        <w:rPr>
          <w:sz w:val="24"/>
        </w:rPr>
        <w:t>perpetrator of conduct that could constitute sexual harassment (as defined below).</w:t>
      </w:r>
    </w:p>
    <w:p w:rsidR="00427BA4" w:rsidRDefault="00427BA4">
      <w:pPr>
        <w:pStyle w:val="BodyText"/>
        <w:spacing w:before="4"/>
      </w:pPr>
    </w:p>
    <w:p w:rsidR="00427BA4" w:rsidRDefault="00BE6E72">
      <w:pPr>
        <w:pStyle w:val="ListParagraph"/>
        <w:numPr>
          <w:ilvl w:val="0"/>
          <w:numId w:val="12"/>
        </w:numPr>
        <w:tabs>
          <w:tab w:val="left" w:pos="819"/>
          <w:tab w:val="left" w:pos="820"/>
        </w:tabs>
        <w:rPr>
          <w:sz w:val="24"/>
        </w:rPr>
      </w:pPr>
      <w:r>
        <w:rPr>
          <w:sz w:val="24"/>
        </w:rPr>
        <w:t>“Sex discrimination” is treatment of or denial of a benefit to a person on the basis of their sex.</w:t>
      </w:r>
    </w:p>
    <w:p w:rsidR="00427BA4" w:rsidRDefault="00427BA4">
      <w:pPr>
        <w:pStyle w:val="BodyText"/>
        <w:spacing w:before="4"/>
      </w:pPr>
    </w:p>
    <w:p w:rsidR="00427BA4" w:rsidRDefault="00BE6E72">
      <w:pPr>
        <w:pStyle w:val="ListParagraph"/>
        <w:numPr>
          <w:ilvl w:val="0"/>
          <w:numId w:val="12"/>
        </w:numPr>
        <w:tabs>
          <w:tab w:val="left" w:pos="819"/>
          <w:tab w:val="left" w:pos="820"/>
        </w:tabs>
        <w:ind w:right="268"/>
        <w:rPr>
          <w:sz w:val="24"/>
        </w:rPr>
      </w:pPr>
      <w:r>
        <w:rPr>
          <w:sz w:val="24"/>
        </w:rPr>
        <w:t>“Sexual harassment” means, for the purpose of only this grievance procedure, conduct on the basis of sex that satisfies one or more of the following:</w:t>
      </w:r>
    </w:p>
    <w:p w:rsidR="00427BA4" w:rsidRDefault="00427BA4">
      <w:pPr>
        <w:pStyle w:val="BodyText"/>
        <w:spacing w:before="4"/>
      </w:pPr>
    </w:p>
    <w:p w:rsidR="00427BA4" w:rsidRDefault="00BE6E72">
      <w:pPr>
        <w:pStyle w:val="ListParagraph"/>
        <w:numPr>
          <w:ilvl w:val="1"/>
          <w:numId w:val="12"/>
        </w:numPr>
        <w:tabs>
          <w:tab w:val="left" w:pos="1180"/>
        </w:tabs>
        <w:ind w:right="268"/>
        <w:rPr>
          <w:sz w:val="24"/>
        </w:rPr>
      </w:pPr>
      <w:r>
        <w:rPr>
          <w:sz w:val="24"/>
        </w:rPr>
        <w:t xml:space="preserve">An employee of </w:t>
      </w:r>
      <w:r w:rsidR="00A319B5">
        <w:rPr>
          <w:sz w:val="24"/>
        </w:rPr>
        <w:t>Morehouse Parish School Board</w:t>
      </w:r>
      <w:r>
        <w:rPr>
          <w:sz w:val="24"/>
        </w:rPr>
        <w:t xml:space="preserve"> conditioning the provision of an aid, benefit, or service for a student on an individual’s participation in unwelcome sexual conduct (i.e., </w:t>
      </w:r>
      <w:r>
        <w:rPr>
          <w:i/>
          <w:sz w:val="24"/>
        </w:rPr>
        <w:t xml:space="preserve">quid pro quo </w:t>
      </w:r>
      <w:r>
        <w:rPr>
          <w:sz w:val="24"/>
        </w:rPr>
        <w:t>sexual harassment);</w:t>
      </w:r>
    </w:p>
    <w:p w:rsidR="00427BA4" w:rsidRDefault="00BE6E72">
      <w:pPr>
        <w:pStyle w:val="ListParagraph"/>
        <w:numPr>
          <w:ilvl w:val="1"/>
          <w:numId w:val="12"/>
        </w:numPr>
        <w:tabs>
          <w:tab w:val="left" w:pos="1180"/>
        </w:tabs>
        <w:rPr>
          <w:sz w:val="24"/>
        </w:rPr>
      </w:pPr>
      <w:r>
        <w:rPr>
          <w:sz w:val="24"/>
        </w:rPr>
        <w:t xml:space="preserve">Unwelcome conduct determined by a reasonable person to be so severe, pervasive, and objectively offensive that it effectively denies a person equal </w:t>
      </w:r>
      <w:r>
        <w:rPr>
          <w:spacing w:val="-3"/>
          <w:sz w:val="24"/>
        </w:rPr>
        <w:t xml:space="preserve">access </w:t>
      </w:r>
      <w:r>
        <w:rPr>
          <w:sz w:val="24"/>
        </w:rPr>
        <w:t xml:space="preserve">to </w:t>
      </w:r>
      <w:r w:rsidR="00A319B5">
        <w:rPr>
          <w:sz w:val="24"/>
        </w:rPr>
        <w:t>Morehouse Parish School Board</w:t>
      </w:r>
      <w:r>
        <w:rPr>
          <w:sz w:val="24"/>
        </w:rPr>
        <w:t>’s education program or activity;</w:t>
      </w:r>
    </w:p>
    <w:p w:rsidR="00427BA4" w:rsidRDefault="00BE6E72">
      <w:pPr>
        <w:pStyle w:val="ListParagraph"/>
        <w:numPr>
          <w:ilvl w:val="1"/>
          <w:numId w:val="12"/>
        </w:numPr>
        <w:tabs>
          <w:tab w:val="left" w:pos="1180"/>
        </w:tabs>
        <w:rPr>
          <w:sz w:val="24"/>
        </w:rPr>
      </w:pPr>
      <w:r>
        <w:rPr>
          <w:sz w:val="24"/>
        </w:rPr>
        <w:t>“Sexual assault” means an offense classified as a forcible or non</w:t>
      </w:r>
      <w:r w:rsidR="00B2107C">
        <w:rPr>
          <w:sz w:val="24"/>
        </w:rPr>
        <w:t>-</w:t>
      </w:r>
      <w:r>
        <w:rPr>
          <w:sz w:val="24"/>
        </w:rPr>
        <w:t xml:space="preserve">forcible </w:t>
      </w:r>
      <w:r>
        <w:rPr>
          <w:spacing w:val="-6"/>
          <w:sz w:val="24"/>
        </w:rPr>
        <w:t xml:space="preserve">sex </w:t>
      </w:r>
      <w:r>
        <w:rPr>
          <w:sz w:val="24"/>
        </w:rPr>
        <w:t xml:space="preserve">offense under the uniform crime reporting system of the Federal Bureau </w:t>
      </w:r>
      <w:r>
        <w:rPr>
          <w:spacing w:val="-9"/>
          <w:sz w:val="24"/>
        </w:rPr>
        <w:t xml:space="preserve">of </w:t>
      </w:r>
      <w:r>
        <w:rPr>
          <w:sz w:val="24"/>
        </w:rPr>
        <w:t xml:space="preserve">Investigation (20 U.S.C. 1092(f)(6)(A)(v)) involving an attempted or actual </w:t>
      </w:r>
      <w:r>
        <w:rPr>
          <w:spacing w:val="-3"/>
          <w:sz w:val="24"/>
        </w:rPr>
        <w:t xml:space="preserve">sexual </w:t>
      </w:r>
      <w:r>
        <w:rPr>
          <w:sz w:val="24"/>
        </w:rPr>
        <w:t xml:space="preserve">act directed against another person, without the consent of the victim, </w:t>
      </w:r>
      <w:r>
        <w:rPr>
          <w:spacing w:val="-3"/>
          <w:sz w:val="24"/>
        </w:rPr>
        <w:t xml:space="preserve">including </w:t>
      </w:r>
      <w:r>
        <w:rPr>
          <w:sz w:val="24"/>
        </w:rPr>
        <w:t>instances where the victim is incapable of giving consent such as:</w:t>
      </w:r>
    </w:p>
    <w:p w:rsidR="00427BA4" w:rsidRDefault="00427BA4">
      <w:pPr>
        <w:pStyle w:val="BodyText"/>
        <w:spacing w:before="4"/>
      </w:pPr>
    </w:p>
    <w:p w:rsidR="00427BA4" w:rsidRDefault="00BE6E72">
      <w:pPr>
        <w:pStyle w:val="ListParagraph"/>
        <w:numPr>
          <w:ilvl w:val="0"/>
          <w:numId w:val="11"/>
        </w:numPr>
        <w:tabs>
          <w:tab w:val="left" w:pos="1900"/>
        </w:tabs>
        <w:ind w:right="0"/>
        <w:rPr>
          <w:sz w:val="24"/>
        </w:rPr>
      </w:pPr>
      <w:r>
        <w:rPr>
          <w:sz w:val="24"/>
        </w:rPr>
        <w:t>attempted or actual rape as defined in La. R.S. 14:41, 42-43 or</w:t>
      </w:r>
    </w:p>
    <w:p w:rsidR="00427BA4" w:rsidRDefault="00BE6E72">
      <w:pPr>
        <w:pStyle w:val="ListParagraph"/>
        <w:numPr>
          <w:ilvl w:val="0"/>
          <w:numId w:val="11"/>
        </w:numPr>
        <w:tabs>
          <w:tab w:val="left" w:pos="1900"/>
        </w:tabs>
        <w:ind w:right="0"/>
        <w:rPr>
          <w:sz w:val="24"/>
        </w:rPr>
      </w:pPr>
      <w:r>
        <w:rPr>
          <w:sz w:val="24"/>
        </w:rPr>
        <w:t>attempted or actual sexual battery as defined in La. R.S. 14:43.1-43.3;</w:t>
      </w:r>
    </w:p>
    <w:p w:rsidR="00427BA4" w:rsidRDefault="00427BA4">
      <w:pPr>
        <w:pStyle w:val="BodyText"/>
        <w:spacing w:before="4"/>
      </w:pPr>
    </w:p>
    <w:p w:rsidR="00427BA4" w:rsidRDefault="00BE6E72">
      <w:pPr>
        <w:pStyle w:val="ListParagraph"/>
        <w:numPr>
          <w:ilvl w:val="1"/>
          <w:numId w:val="12"/>
        </w:numPr>
        <w:tabs>
          <w:tab w:val="left" w:pos="1179"/>
          <w:tab w:val="left" w:pos="1180"/>
        </w:tabs>
        <w:ind w:right="0"/>
        <w:jc w:val="left"/>
        <w:rPr>
          <w:sz w:val="24"/>
        </w:rPr>
      </w:pPr>
      <w:r>
        <w:rPr>
          <w:sz w:val="24"/>
        </w:rPr>
        <w:t>“Dating violence” means violence committed by a person--</w:t>
      </w:r>
    </w:p>
    <w:p w:rsidR="00427BA4" w:rsidRDefault="00427BA4">
      <w:pPr>
        <w:pStyle w:val="BodyText"/>
        <w:spacing w:before="4"/>
      </w:pPr>
    </w:p>
    <w:p w:rsidR="00427BA4" w:rsidRDefault="00BE6E72">
      <w:pPr>
        <w:pStyle w:val="ListParagraph"/>
        <w:numPr>
          <w:ilvl w:val="0"/>
          <w:numId w:val="10"/>
        </w:numPr>
        <w:tabs>
          <w:tab w:val="left" w:pos="1920"/>
        </w:tabs>
        <w:ind w:right="268" w:firstLine="0"/>
        <w:rPr>
          <w:sz w:val="24"/>
        </w:rPr>
      </w:pPr>
      <w:r>
        <w:rPr>
          <w:sz w:val="24"/>
        </w:rPr>
        <w:t>who is or has been in a social relationship of a romantic or intimate nature with the victim; and</w:t>
      </w:r>
    </w:p>
    <w:p w:rsidR="00427BA4" w:rsidRDefault="00BE6E72">
      <w:pPr>
        <w:pStyle w:val="ListParagraph"/>
        <w:numPr>
          <w:ilvl w:val="0"/>
          <w:numId w:val="10"/>
        </w:numPr>
        <w:tabs>
          <w:tab w:val="left" w:pos="1919"/>
        </w:tabs>
        <w:ind w:right="268" w:firstLine="0"/>
        <w:rPr>
          <w:sz w:val="24"/>
        </w:rPr>
      </w:pPr>
      <w:r>
        <w:rPr>
          <w:sz w:val="24"/>
        </w:rPr>
        <w:t>where the existence of such a relationship shall be determined based on a consideration of the following factors:</w:t>
      </w:r>
    </w:p>
    <w:p w:rsidR="00427BA4" w:rsidRDefault="00BE6E72">
      <w:pPr>
        <w:pStyle w:val="ListParagraph"/>
        <w:numPr>
          <w:ilvl w:val="1"/>
          <w:numId w:val="10"/>
        </w:numPr>
        <w:tabs>
          <w:tab w:val="left" w:pos="2540"/>
        </w:tabs>
        <w:ind w:right="0"/>
        <w:rPr>
          <w:sz w:val="24"/>
        </w:rPr>
      </w:pPr>
      <w:r>
        <w:rPr>
          <w:sz w:val="24"/>
        </w:rPr>
        <w:t>The length of the relationship;</w:t>
      </w:r>
    </w:p>
    <w:p w:rsidR="00427BA4" w:rsidRDefault="00BE6E72">
      <w:pPr>
        <w:pStyle w:val="ListParagraph"/>
        <w:numPr>
          <w:ilvl w:val="1"/>
          <w:numId w:val="10"/>
        </w:numPr>
        <w:tabs>
          <w:tab w:val="left" w:pos="2594"/>
        </w:tabs>
        <w:ind w:left="2593" w:right="0" w:hanging="334"/>
        <w:rPr>
          <w:sz w:val="24"/>
        </w:rPr>
      </w:pPr>
      <w:r>
        <w:rPr>
          <w:sz w:val="24"/>
        </w:rPr>
        <w:t>The type of relationship; and</w:t>
      </w:r>
    </w:p>
    <w:p w:rsidR="00427BA4" w:rsidRDefault="00BE6E72">
      <w:pPr>
        <w:pStyle w:val="ListParagraph"/>
        <w:numPr>
          <w:ilvl w:val="1"/>
          <w:numId w:val="10"/>
        </w:numPr>
        <w:tabs>
          <w:tab w:val="left" w:pos="2647"/>
        </w:tabs>
        <w:ind w:left="2660" w:right="780" w:hanging="401"/>
        <w:rPr>
          <w:sz w:val="24"/>
        </w:rPr>
      </w:pPr>
      <w:r>
        <w:rPr>
          <w:sz w:val="24"/>
        </w:rPr>
        <w:t xml:space="preserve">The frequency of interaction between the persons involved in </w:t>
      </w:r>
      <w:r>
        <w:rPr>
          <w:spacing w:val="-6"/>
          <w:sz w:val="24"/>
        </w:rPr>
        <w:t xml:space="preserve">the </w:t>
      </w:r>
      <w:r>
        <w:rPr>
          <w:sz w:val="24"/>
        </w:rPr>
        <w:t>relationship, (34 U.S.C. 12291(a)(10)); or</w:t>
      </w:r>
    </w:p>
    <w:p w:rsidR="00427BA4" w:rsidRDefault="00BE6E72">
      <w:pPr>
        <w:pStyle w:val="ListParagraph"/>
        <w:numPr>
          <w:ilvl w:val="0"/>
          <w:numId w:val="10"/>
        </w:numPr>
        <w:tabs>
          <w:tab w:val="left" w:pos="1956"/>
        </w:tabs>
        <w:ind w:right="268" w:firstLine="0"/>
        <w:rPr>
          <w:sz w:val="24"/>
        </w:rPr>
      </w:pPr>
      <w:r>
        <w:rPr>
          <w:sz w:val="24"/>
        </w:rPr>
        <w:t>commits a battery of a dating partner as defined in La. R.S 14:34.9 or 14:34.9.1;</w:t>
      </w:r>
    </w:p>
    <w:p w:rsidR="00427BA4" w:rsidRDefault="00427BA4">
      <w:pPr>
        <w:rPr>
          <w:sz w:val="24"/>
        </w:rPr>
        <w:sectPr w:rsidR="00427BA4">
          <w:pgSz w:w="12240" w:h="15840"/>
          <w:pgMar w:top="1360" w:right="960" w:bottom="1200" w:left="980" w:header="0" w:footer="1016" w:gutter="0"/>
          <w:cols w:space="720"/>
        </w:sectPr>
      </w:pPr>
    </w:p>
    <w:p w:rsidR="00427BA4" w:rsidRDefault="00BE6E72">
      <w:pPr>
        <w:pStyle w:val="ListParagraph"/>
        <w:numPr>
          <w:ilvl w:val="1"/>
          <w:numId w:val="12"/>
        </w:numPr>
        <w:tabs>
          <w:tab w:val="left" w:pos="1180"/>
        </w:tabs>
        <w:spacing w:before="80"/>
        <w:rPr>
          <w:sz w:val="24"/>
        </w:rPr>
      </w:pPr>
      <w:r>
        <w:rPr>
          <w:sz w:val="24"/>
        </w:rPr>
        <w:lastRenderedPageBreak/>
        <w:t>”Domestic violence”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w:t>
      </w:r>
      <w:r>
        <w:rPr>
          <w:spacing w:val="17"/>
          <w:sz w:val="24"/>
        </w:rPr>
        <w:t xml:space="preserve"> </w:t>
      </w:r>
      <w:r>
        <w:rPr>
          <w:spacing w:val="-3"/>
          <w:sz w:val="24"/>
        </w:rPr>
        <w:t xml:space="preserve">person </w:t>
      </w:r>
      <w:r>
        <w:rPr>
          <w:sz w:val="24"/>
        </w:rPr>
        <w:t xml:space="preserve">similarly situated to a spouse of the victim under the domestic or family violence laws of the jurisdiction receiving grant monies, or by any other person against </w:t>
      </w:r>
      <w:r>
        <w:rPr>
          <w:spacing w:val="-10"/>
          <w:sz w:val="24"/>
        </w:rPr>
        <w:t xml:space="preserve">an </w:t>
      </w:r>
      <w:r>
        <w:rPr>
          <w:sz w:val="24"/>
        </w:rPr>
        <w:t>adult or youth victim who is protected from that person's acts under the domestic or family violence laws of Louisiana (34 U.S.C. 12291(a)(8)); or</w:t>
      </w:r>
    </w:p>
    <w:p w:rsidR="00427BA4" w:rsidRDefault="00427BA4">
      <w:pPr>
        <w:pStyle w:val="BodyText"/>
        <w:spacing w:before="4"/>
      </w:pPr>
    </w:p>
    <w:p w:rsidR="00427BA4" w:rsidRDefault="00BE6E72">
      <w:pPr>
        <w:pStyle w:val="BodyText"/>
        <w:ind w:left="820" w:right="269"/>
      </w:pPr>
      <w:r>
        <w:t>“Stalking” means engaging in a course of conduct directed at a specific person that would cause a reasonable person to--</w:t>
      </w:r>
    </w:p>
    <w:p w:rsidR="00427BA4" w:rsidRDefault="00427BA4">
      <w:pPr>
        <w:pStyle w:val="BodyText"/>
        <w:spacing w:before="4"/>
      </w:pPr>
    </w:p>
    <w:p w:rsidR="00427BA4" w:rsidRDefault="00BE6E72">
      <w:pPr>
        <w:pStyle w:val="ListParagraph"/>
        <w:numPr>
          <w:ilvl w:val="0"/>
          <w:numId w:val="9"/>
        </w:numPr>
        <w:tabs>
          <w:tab w:val="left" w:pos="1900"/>
        </w:tabs>
        <w:ind w:right="0"/>
        <w:jc w:val="both"/>
        <w:rPr>
          <w:sz w:val="24"/>
        </w:rPr>
      </w:pPr>
      <w:r>
        <w:rPr>
          <w:sz w:val="24"/>
        </w:rPr>
        <w:t>fear for his or her safety or the safety of others; or</w:t>
      </w:r>
    </w:p>
    <w:p w:rsidR="00427BA4" w:rsidRDefault="00BE6E72">
      <w:pPr>
        <w:pStyle w:val="ListParagraph"/>
        <w:numPr>
          <w:ilvl w:val="0"/>
          <w:numId w:val="9"/>
        </w:numPr>
        <w:tabs>
          <w:tab w:val="left" w:pos="1900"/>
        </w:tabs>
        <w:ind w:right="0"/>
        <w:jc w:val="both"/>
        <w:rPr>
          <w:sz w:val="24"/>
        </w:rPr>
      </w:pPr>
      <w:r>
        <w:rPr>
          <w:sz w:val="24"/>
        </w:rPr>
        <w:t>suffer substantial emotional distress (34 U.S.C. 122919(a)(30)); or</w:t>
      </w:r>
    </w:p>
    <w:p w:rsidR="00427BA4" w:rsidRDefault="00BE6E72">
      <w:pPr>
        <w:pStyle w:val="ListParagraph"/>
        <w:numPr>
          <w:ilvl w:val="0"/>
          <w:numId w:val="9"/>
        </w:numPr>
        <w:tabs>
          <w:tab w:val="left" w:pos="1952"/>
        </w:tabs>
        <w:ind w:left="1540" w:firstLine="0"/>
        <w:jc w:val="both"/>
        <w:rPr>
          <w:sz w:val="24"/>
        </w:rPr>
      </w:pPr>
      <w:r>
        <w:rPr>
          <w:sz w:val="24"/>
        </w:rPr>
        <w:t xml:space="preserve">may include but not be limited to the intentional and repeated uninvited presence of the perpetrator at another person's home, workplace, school, or any place which would cause a reasonable person to be alarmed, or to suffer emotional distress as a result of verbal, written, or behaviorally implied </w:t>
      </w:r>
      <w:r>
        <w:rPr>
          <w:spacing w:val="-3"/>
          <w:sz w:val="24"/>
        </w:rPr>
        <w:t xml:space="preserve">threats </w:t>
      </w:r>
      <w:r>
        <w:rPr>
          <w:sz w:val="24"/>
        </w:rPr>
        <w:t>of death, bodily injury, sexual assault, kidnapping, or any other statutory criminal act to himself or any member of his family or any person with whom he is acquainted (La. R.S 14:40.2).</w:t>
      </w:r>
    </w:p>
    <w:p w:rsidR="00427BA4" w:rsidRDefault="00427BA4">
      <w:pPr>
        <w:pStyle w:val="BodyText"/>
      </w:pPr>
    </w:p>
    <w:p w:rsidR="00427BA4" w:rsidRDefault="00BE6E72">
      <w:pPr>
        <w:pStyle w:val="ListParagraph"/>
        <w:numPr>
          <w:ilvl w:val="0"/>
          <w:numId w:val="12"/>
        </w:numPr>
        <w:tabs>
          <w:tab w:val="left" w:pos="820"/>
        </w:tabs>
        <w:ind w:right="268"/>
        <w:jc w:val="both"/>
        <w:rPr>
          <w:sz w:val="24"/>
        </w:rPr>
      </w:pPr>
      <w:r>
        <w:rPr>
          <w:sz w:val="24"/>
        </w:rPr>
        <w:t xml:space="preserve">“Standard of evidence” is a preponderance of evidence which means a finding that is more likely than not that the sexual harassment occurred. The standard is met when </w:t>
      </w:r>
      <w:r>
        <w:rPr>
          <w:spacing w:val="-17"/>
          <w:sz w:val="24"/>
        </w:rPr>
        <w:t xml:space="preserve">a </w:t>
      </w:r>
      <w:r>
        <w:rPr>
          <w:sz w:val="24"/>
        </w:rPr>
        <w:t>finder of fact has determined with 50.1% certainty that the sexual harassment occurred.</w:t>
      </w:r>
    </w:p>
    <w:p w:rsidR="00427BA4" w:rsidRDefault="00427BA4">
      <w:pPr>
        <w:pStyle w:val="BodyText"/>
        <w:spacing w:before="4"/>
      </w:pPr>
    </w:p>
    <w:p w:rsidR="00427BA4" w:rsidRDefault="00BE6E72">
      <w:pPr>
        <w:pStyle w:val="ListParagraph"/>
        <w:numPr>
          <w:ilvl w:val="0"/>
          <w:numId w:val="12"/>
        </w:numPr>
        <w:tabs>
          <w:tab w:val="left" w:pos="820"/>
        </w:tabs>
        <w:jc w:val="both"/>
        <w:rPr>
          <w:sz w:val="24"/>
        </w:rPr>
      </w:pPr>
      <w:r>
        <w:rPr>
          <w:sz w:val="24"/>
        </w:rPr>
        <w:t xml:space="preserve">“Supportive measures” means non-disciplinary, non-punitive individualized </w:t>
      </w:r>
      <w:r>
        <w:rPr>
          <w:spacing w:val="-3"/>
          <w:sz w:val="24"/>
        </w:rPr>
        <w:t xml:space="preserve">services </w:t>
      </w:r>
      <w:r>
        <w:rPr>
          <w:sz w:val="24"/>
        </w:rPr>
        <w:t xml:space="preserve">offered as appropriate, as reasonably available, and without fee or charge to </w:t>
      </w:r>
      <w:r>
        <w:rPr>
          <w:spacing w:val="-4"/>
          <w:sz w:val="24"/>
        </w:rPr>
        <w:t>the</w:t>
      </w:r>
      <w:r>
        <w:rPr>
          <w:spacing w:val="58"/>
          <w:sz w:val="24"/>
        </w:rPr>
        <w:t xml:space="preserve"> </w:t>
      </w:r>
      <w:r>
        <w:rPr>
          <w:sz w:val="24"/>
        </w:rPr>
        <w:t xml:space="preserve">complainant or the respondent before or after filing of a formal complaint or where no formal complaint has been filed. Such measures are designed to restore or preserve equal access to </w:t>
      </w:r>
      <w:r w:rsidR="00A319B5">
        <w:rPr>
          <w:sz w:val="24"/>
        </w:rPr>
        <w:t>Morehouse Parish School Board</w:t>
      </w:r>
      <w:r>
        <w:rPr>
          <w:sz w:val="24"/>
        </w:rPr>
        <w:t xml:space="preserve">’s education program or activity without unreasonably burdening the other party, including measures designed to protect </w:t>
      </w:r>
      <w:r>
        <w:rPr>
          <w:spacing w:val="-7"/>
          <w:sz w:val="24"/>
        </w:rPr>
        <w:t xml:space="preserve">the </w:t>
      </w:r>
      <w:r>
        <w:rPr>
          <w:sz w:val="24"/>
        </w:rPr>
        <w:t xml:space="preserve">safety of all parties, the </w:t>
      </w:r>
      <w:r w:rsidR="00A319B5">
        <w:rPr>
          <w:sz w:val="24"/>
        </w:rPr>
        <w:t>Morehouse Parish School Board</w:t>
      </w:r>
      <w:r>
        <w:rPr>
          <w:sz w:val="24"/>
        </w:rPr>
        <w:t xml:space="preserve">’s educational environment, or </w:t>
      </w:r>
      <w:r>
        <w:rPr>
          <w:spacing w:val="-9"/>
          <w:sz w:val="24"/>
        </w:rPr>
        <w:t xml:space="preserve">to </w:t>
      </w:r>
      <w:r>
        <w:rPr>
          <w:sz w:val="24"/>
        </w:rPr>
        <w:t xml:space="preserve">deter sexual harassment. Supportive measures may include counseling, extensions </w:t>
      </w:r>
      <w:r>
        <w:rPr>
          <w:spacing w:val="-6"/>
          <w:sz w:val="24"/>
        </w:rPr>
        <w:t xml:space="preserve">of </w:t>
      </w:r>
      <w:r>
        <w:rPr>
          <w:sz w:val="24"/>
        </w:rPr>
        <w:t xml:space="preserve">deadlines or other course-related adjustments, modifications of work or </w:t>
      </w:r>
      <w:r>
        <w:rPr>
          <w:spacing w:val="-4"/>
          <w:sz w:val="24"/>
        </w:rPr>
        <w:t xml:space="preserve">class </w:t>
      </w:r>
      <w:r>
        <w:rPr>
          <w:sz w:val="24"/>
        </w:rPr>
        <w:t xml:space="preserve">schedules, mutual restrictions on contact between the parties, changes in work </w:t>
      </w:r>
      <w:r>
        <w:rPr>
          <w:spacing w:val="-6"/>
          <w:sz w:val="24"/>
        </w:rPr>
        <w:t xml:space="preserve">or </w:t>
      </w:r>
      <w:r>
        <w:rPr>
          <w:sz w:val="24"/>
        </w:rPr>
        <w:t xml:space="preserve">school locations, leaves of absence, increased security and monitoring of  </w:t>
      </w:r>
      <w:r>
        <w:rPr>
          <w:spacing w:val="-3"/>
          <w:sz w:val="24"/>
        </w:rPr>
        <w:t xml:space="preserve">certain </w:t>
      </w:r>
      <w:r>
        <w:rPr>
          <w:sz w:val="24"/>
        </w:rPr>
        <w:t xml:space="preserve">areas of the campus, and other similar measures. The Title IX Coordinator must maintain as confidential any supportive measures provided to the complainant </w:t>
      </w:r>
      <w:r>
        <w:rPr>
          <w:spacing w:val="-9"/>
          <w:sz w:val="24"/>
        </w:rPr>
        <w:t xml:space="preserve">or </w:t>
      </w:r>
      <w:r>
        <w:rPr>
          <w:sz w:val="24"/>
        </w:rPr>
        <w:t xml:space="preserve">respondent, to the extent that maintaining such confidentiality would not impair </w:t>
      </w:r>
      <w:r>
        <w:rPr>
          <w:spacing w:val="-5"/>
          <w:sz w:val="24"/>
        </w:rPr>
        <w:t xml:space="preserve">the </w:t>
      </w:r>
      <w:r>
        <w:rPr>
          <w:sz w:val="24"/>
        </w:rPr>
        <w:t xml:space="preserve">ability to provide the supportive measures. The Title IX Coordinator is responsible </w:t>
      </w:r>
      <w:r>
        <w:rPr>
          <w:spacing w:val="-6"/>
          <w:sz w:val="24"/>
        </w:rPr>
        <w:t xml:space="preserve">for </w:t>
      </w:r>
      <w:r>
        <w:rPr>
          <w:sz w:val="24"/>
        </w:rPr>
        <w:t>coordinating the effective implementation of supportive measures.</w:t>
      </w:r>
    </w:p>
    <w:p w:rsidR="00427BA4" w:rsidRDefault="00427BA4">
      <w:pPr>
        <w:pStyle w:val="BodyText"/>
        <w:spacing w:before="4"/>
      </w:pPr>
    </w:p>
    <w:p w:rsidR="00427BA4" w:rsidRDefault="00BE6E72">
      <w:pPr>
        <w:pStyle w:val="ListParagraph"/>
        <w:numPr>
          <w:ilvl w:val="0"/>
          <w:numId w:val="12"/>
        </w:numPr>
        <w:tabs>
          <w:tab w:val="left" w:pos="820"/>
        </w:tabs>
        <w:jc w:val="both"/>
        <w:rPr>
          <w:sz w:val="24"/>
        </w:rPr>
      </w:pPr>
      <w:r>
        <w:rPr>
          <w:sz w:val="24"/>
        </w:rPr>
        <w:t xml:space="preserve">“Title IX Coordinator” is the person designated by the </w:t>
      </w:r>
      <w:r w:rsidR="00A319B5">
        <w:rPr>
          <w:sz w:val="24"/>
        </w:rPr>
        <w:t>Morehouse Parish School Board</w:t>
      </w:r>
      <w:r>
        <w:rPr>
          <w:spacing w:val="-4"/>
          <w:sz w:val="24"/>
        </w:rPr>
        <w:t xml:space="preserve"> </w:t>
      </w:r>
      <w:r>
        <w:rPr>
          <w:sz w:val="24"/>
        </w:rPr>
        <w:t>School</w:t>
      </w:r>
      <w:r>
        <w:rPr>
          <w:spacing w:val="40"/>
          <w:sz w:val="24"/>
        </w:rPr>
        <w:t xml:space="preserve"> </w:t>
      </w:r>
      <w:r>
        <w:rPr>
          <w:sz w:val="24"/>
        </w:rPr>
        <w:t>Board</w:t>
      </w:r>
      <w:r>
        <w:rPr>
          <w:spacing w:val="41"/>
          <w:sz w:val="24"/>
        </w:rPr>
        <w:t xml:space="preserve"> </w:t>
      </w:r>
      <w:r>
        <w:rPr>
          <w:sz w:val="24"/>
        </w:rPr>
        <w:t>and</w:t>
      </w:r>
      <w:r>
        <w:rPr>
          <w:spacing w:val="41"/>
          <w:sz w:val="24"/>
        </w:rPr>
        <w:t xml:space="preserve"> </w:t>
      </w:r>
      <w:r>
        <w:rPr>
          <w:sz w:val="24"/>
        </w:rPr>
        <w:t>who</w:t>
      </w:r>
      <w:r>
        <w:rPr>
          <w:spacing w:val="40"/>
          <w:sz w:val="24"/>
        </w:rPr>
        <w:t xml:space="preserve"> </w:t>
      </w:r>
      <w:r>
        <w:rPr>
          <w:sz w:val="24"/>
        </w:rPr>
        <w:t>may</w:t>
      </w:r>
      <w:r>
        <w:rPr>
          <w:spacing w:val="41"/>
          <w:sz w:val="24"/>
        </w:rPr>
        <w:t xml:space="preserve"> </w:t>
      </w:r>
      <w:r>
        <w:rPr>
          <w:sz w:val="24"/>
        </w:rPr>
        <w:t>designate</w:t>
      </w:r>
      <w:r>
        <w:rPr>
          <w:spacing w:val="41"/>
          <w:sz w:val="24"/>
        </w:rPr>
        <w:t xml:space="preserve"> </w:t>
      </w:r>
      <w:r>
        <w:rPr>
          <w:sz w:val="24"/>
        </w:rPr>
        <w:t>an</w:t>
      </w:r>
      <w:r>
        <w:rPr>
          <w:spacing w:val="40"/>
          <w:sz w:val="24"/>
        </w:rPr>
        <w:t xml:space="preserve"> </w:t>
      </w:r>
      <w:r>
        <w:rPr>
          <w:sz w:val="24"/>
        </w:rPr>
        <w:t>Investigator,</w:t>
      </w:r>
      <w:r>
        <w:rPr>
          <w:spacing w:val="41"/>
          <w:sz w:val="24"/>
        </w:rPr>
        <w:t xml:space="preserve"> </w:t>
      </w:r>
      <w:r>
        <w:rPr>
          <w:sz w:val="24"/>
        </w:rPr>
        <w:t>as</w:t>
      </w:r>
      <w:r>
        <w:rPr>
          <w:spacing w:val="41"/>
          <w:sz w:val="24"/>
        </w:rPr>
        <w:t xml:space="preserve"> </w:t>
      </w:r>
      <w:r>
        <w:rPr>
          <w:sz w:val="24"/>
        </w:rPr>
        <w:t>appropriate.</w:t>
      </w:r>
      <w:r>
        <w:rPr>
          <w:spacing w:val="40"/>
          <w:sz w:val="24"/>
        </w:rPr>
        <w:t xml:space="preserve"> </w:t>
      </w:r>
      <w:r>
        <w:rPr>
          <w:sz w:val="24"/>
        </w:rPr>
        <w:t>The</w:t>
      </w:r>
      <w:r>
        <w:rPr>
          <w:spacing w:val="41"/>
          <w:sz w:val="24"/>
        </w:rPr>
        <w:t xml:space="preserve"> </w:t>
      </w:r>
      <w:r>
        <w:rPr>
          <w:sz w:val="24"/>
        </w:rPr>
        <w:t>Title</w:t>
      </w:r>
      <w:r>
        <w:rPr>
          <w:spacing w:val="41"/>
          <w:sz w:val="24"/>
        </w:rPr>
        <w:t xml:space="preserve"> </w:t>
      </w:r>
      <w:r>
        <w:rPr>
          <w:sz w:val="24"/>
        </w:rPr>
        <w:t>IX</w:t>
      </w:r>
    </w:p>
    <w:p w:rsidR="00427BA4" w:rsidRDefault="00427BA4">
      <w:pPr>
        <w:jc w:val="both"/>
        <w:rPr>
          <w:sz w:val="24"/>
        </w:rPr>
        <w:sectPr w:rsidR="00427BA4">
          <w:pgSz w:w="12240" w:h="15840"/>
          <w:pgMar w:top="1360" w:right="960" w:bottom="1200" w:left="980" w:header="0" w:footer="1016" w:gutter="0"/>
          <w:cols w:space="720"/>
        </w:sectPr>
      </w:pPr>
    </w:p>
    <w:p w:rsidR="00427BA4" w:rsidRDefault="00BE6E72">
      <w:pPr>
        <w:pStyle w:val="BodyText"/>
        <w:spacing w:before="80"/>
        <w:ind w:left="820" w:right="269"/>
        <w:jc w:val="both"/>
      </w:pPr>
      <w:r>
        <w:lastRenderedPageBreak/>
        <w:t xml:space="preserve">Coordinator is authorized to coordinate all compliance efforts regarding Title IX including employment, athletic participation, and housing for </w:t>
      </w:r>
      <w:r w:rsidR="00A319B5">
        <w:t>Morehouse Parish School Board</w:t>
      </w:r>
      <w:r>
        <w:t xml:space="preserve"> For this grievance procedure regarding sexual harassment (as defined above), the Title IX Coordinator is the initial contact and responsible for its overall compliance. The Title IX Coordinator’s name, office and email addresses, and phone number, must be posted on the </w:t>
      </w:r>
      <w:r w:rsidR="00A319B5">
        <w:t>Morehouse Parish School Board</w:t>
      </w:r>
      <w:r>
        <w:t>’s website and in each handbook or catalog that it makes available to applicants for admission and employment, students, parents or legal guardians of students, and employees.</w:t>
      </w:r>
    </w:p>
    <w:p w:rsidR="00427BA4" w:rsidRDefault="00427BA4">
      <w:pPr>
        <w:pStyle w:val="BodyText"/>
      </w:pPr>
    </w:p>
    <w:p w:rsidR="00427BA4" w:rsidRDefault="00BE6E72">
      <w:pPr>
        <w:pStyle w:val="ListParagraph"/>
        <w:numPr>
          <w:ilvl w:val="0"/>
          <w:numId w:val="12"/>
        </w:numPr>
        <w:tabs>
          <w:tab w:val="left" w:pos="820"/>
        </w:tabs>
        <w:jc w:val="both"/>
        <w:rPr>
          <w:sz w:val="24"/>
        </w:rPr>
      </w:pPr>
      <w:r>
        <w:rPr>
          <w:sz w:val="24"/>
        </w:rPr>
        <w:t xml:space="preserve">“Title IX” refers to Title IX of the Education Amendments of 1972 (20 U.S.C. §1681 </w:t>
      </w:r>
      <w:r>
        <w:rPr>
          <w:i/>
          <w:sz w:val="24"/>
        </w:rPr>
        <w:t>et seq.</w:t>
      </w:r>
      <w:r>
        <w:rPr>
          <w:sz w:val="24"/>
        </w:rPr>
        <w:t xml:space="preserve">) and the regulations promulgated thereunder. Title IX prohibits discrimination </w:t>
      </w:r>
      <w:r>
        <w:rPr>
          <w:spacing w:val="-6"/>
          <w:sz w:val="24"/>
        </w:rPr>
        <w:t xml:space="preserve">on </w:t>
      </w:r>
      <w:r>
        <w:rPr>
          <w:sz w:val="24"/>
        </w:rPr>
        <w:t xml:space="preserve">the basis of sex in education programs and activities that receive Federal financial assistance, including the </w:t>
      </w:r>
      <w:r w:rsidR="00A319B5">
        <w:rPr>
          <w:sz w:val="24"/>
        </w:rPr>
        <w:t>Morehouse Parish School Board</w:t>
      </w:r>
      <w:r>
        <w:rPr>
          <w:sz w:val="24"/>
        </w:rPr>
        <w:t>.</w:t>
      </w:r>
    </w:p>
    <w:p w:rsidR="00427BA4" w:rsidRDefault="00427BA4">
      <w:pPr>
        <w:pStyle w:val="BodyText"/>
        <w:spacing w:before="11"/>
        <w:rPr>
          <w:sz w:val="15"/>
        </w:rPr>
      </w:pPr>
    </w:p>
    <w:p w:rsidR="00427BA4" w:rsidRDefault="00BE6E72">
      <w:pPr>
        <w:pStyle w:val="BodyText"/>
        <w:spacing w:before="92"/>
        <w:ind w:left="100"/>
      </w:pPr>
      <w:r>
        <w:rPr>
          <w:spacing w:val="-174"/>
          <w:u w:val="single"/>
        </w:rPr>
        <w:t>R</w:t>
      </w:r>
      <w:r>
        <w:rPr>
          <w:spacing w:val="106"/>
        </w:rPr>
        <w:t xml:space="preserve"> </w:t>
      </w:r>
      <w:r>
        <w:rPr>
          <w:u w:val="single"/>
        </w:rPr>
        <w:t>EPORT PROCEDURE</w:t>
      </w:r>
    </w:p>
    <w:p w:rsidR="00427BA4" w:rsidRDefault="00427BA4">
      <w:pPr>
        <w:pStyle w:val="BodyText"/>
        <w:rPr>
          <w:sz w:val="16"/>
        </w:rPr>
      </w:pPr>
    </w:p>
    <w:p w:rsidR="00427BA4" w:rsidRDefault="00BE6E72">
      <w:pPr>
        <w:pStyle w:val="ListParagraph"/>
        <w:numPr>
          <w:ilvl w:val="0"/>
          <w:numId w:val="8"/>
        </w:numPr>
        <w:tabs>
          <w:tab w:val="left" w:pos="820"/>
        </w:tabs>
        <w:spacing w:before="92"/>
        <w:jc w:val="both"/>
        <w:rPr>
          <w:sz w:val="24"/>
        </w:rPr>
      </w:pPr>
      <w:r>
        <w:rPr>
          <w:sz w:val="24"/>
        </w:rPr>
        <w:t xml:space="preserve">Any student who believes he or she has been the victim of sexual harassment as a result of conduct defined above as sexual harassment by another student or by </w:t>
      </w:r>
      <w:r>
        <w:rPr>
          <w:spacing w:val="-7"/>
          <w:sz w:val="24"/>
        </w:rPr>
        <w:t xml:space="preserve">any </w:t>
      </w:r>
      <w:r w:rsidR="00A319B5">
        <w:rPr>
          <w:sz w:val="24"/>
        </w:rPr>
        <w:t>Morehouse Parish School Board</w:t>
      </w:r>
      <w:r>
        <w:rPr>
          <w:sz w:val="24"/>
        </w:rPr>
        <w:t xml:space="preserve"> employee or staff member is encouraged to report </w:t>
      </w:r>
      <w:r>
        <w:rPr>
          <w:spacing w:val="-6"/>
          <w:sz w:val="24"/>
        </w:rPr>
        <w:t xml:space="preserve">the </w:t>
      </w:r>
      <w:r>
        <w:rPr>
          <w:sz w:val="24"/>
        </w:rPr>
        <w:t xml:space="preserve">matter to the Title IX Coordinator or </w:t>
      </w:r>
      <w:r w:rsidR="00A319B5">
        <w:rPr>
          <w:sz w:val="24"/>
        </w:rPr>
        <w:t>Morehouse Parish School Board</w:t>
      </w:r>
      <w:r>
        <w:rPr>
          <w:sz w:val="24"/>
        </w:rPr>
        <w:t xml:space="preserve"> employee.</w:t>
      </w:r>
    </w:p>
    <w:p w:rsidR="00427BA4" w:rsidRDefault="00427BA4">
      <w:pPr>
        <w:pStyle w:val="BodyText"/>
        <w:spacing w:before="4"/>
      </w:pPr>
    </w:p>
    <w:p w:rsidR="00427BA4" w:rsidRDefault="00BE6E72">
      <w:pPr>
        <w:pStyle w:val="ListParagraph"/>
        <w:numPr>
          <w:ilvl w:val="0"/>
          <w:numId w:val="8"/>
        </w:numPr>
        <w:tabs>
          <w:tab w:val="left" w:pos="820"/>
        </w:tabs>
        <w:jc w:val="both"/>
        <w:rPr>
          <w:sz w:val="24"/>
        </w:rPr>
      </w:pPr>
      <w:r>
        <w:rPr>
          <w:sz w:val="24"/>
        </w:rPr>
        <w:t xml:space="preserve">Any person, such as parent/guardian, principal, school administrator, teacher, </w:t>
      </w:r>
      <w:r>
        <w:rPr>
          <w:spacing w:val="-3"/>
          <w:sz w:val="24"/>
        </w:rPr>
        <w:t xml:space="preserve">friend, </w:t>
      </w:r>
      <w:r>
        <w:rPr>
          <w:sz w:val="24"/>
        </w:rPr>
        <w:t xml:space="preserve">or bystander, may report sexual discrimination, including sexual harassment </w:t>
      </w:r>
      <w:r>
        <w:rPr>
          <w:spacing w:val="-3"/>
          <w:sz w:val="24"/>
        </w:rPr>
        <w:t xml:space="preserve">whether </w:t>
      </w:r>
      <w:r>
        <w:rPr>
          <w:sz w:val="24"/>
        </w:rPr>
        <w:t xml:space="preserve">or not the person reporting is the person alleged to be the victim of conduct that could constitute discrimination or sexual harassment. The report should be made to the </w:t>
      </w:r>
      <w:r>
        <w:rPr>
          <w:spacing w:val="-4"/>
          <w:sz w:val="24"/>
        </w:rPr>
        <w:t xml:space="preserve">Title </w:t>
      </w:r>
      <w:r>
        <w:rPr>
          <w:sz w:val="24"/>
        </w:rPr>
        <w:t>IX Coordinator.</w:t>
      </w:r>
    </w:p>
    <w:p w:rsidR="00427BA4" w:rsidRDefault="00427BA4">
      <w:pPr>
        <w:pStyle w:val="BodyText"/>
        <w:spacing w:before="4"/>
      </w:pPr>
    </w:p>
    <w:p w:rsidR="00427BA4" w:rsidRDefault="00BE6E72">
      <w:pPr>
        <w:pStyle w:val="ListParagraph"/>
        <w:numPr>
          <w:ilvl w:val="0"/>
          <w:numId w:val="8"/>
        </w:numPr>
        <w:tabs>
          <w:tab w:val="left" w:pos="820"/>
        </w:tabs>
        <w:jc w:val="both"/>
        <w:rPr>
          <w:sz w:val="24"/>
        </w:rPr>
      </w:pPr>
      <w:r>
        <w:rPr>
          <w:sz w:val="24"/>
        </w:rPr>
        <w:t xml:space="preserve">Reports may be made by mail, telephone or email using the contact information listed for the Title IX Coordinator or by any other means that results in the Title </w:t>
      </w:r>
      <w:r>
        <w:rPr>
          <w:spacing w:val="-6"/>
          <w:sz w:val="24"/>
        </w:rPr>
        <w:t xml:space="preserve">IX </w:t>
      </w:r>
      <w:r>
        <w:rPr>
          <w:sz w:val="24"/>
        </w:rPr>
        <w:t>Coordinator receiving the person’s verbal or written report.</w:t>
      </w:r>
    </w:p>
    <w:p w:rsidR="00427BA4" w:rsidRDefault="00427BA4">
      <w:pPr>
        <w:pStyle w:val="BodyText"/>
        <w:spacing w:before="4"/>
      </w:pPr>
    </w:p>
    <w:p w:rsidR="00427BA4" w:rsidRDefault="00BE6E72">
      <w:pPr>
        <w:pStyle w:val="ListParagraph"/>
        <w:numPr>
          <w:ilvl w:val="0"/>
          <w:numId w:val="8"/>
        </w:numPr>
        <w:tabs>
          <w:tab w:val="left" w:pos="820"/>
        </w:tabs>
        <w:jc w:val="both"/>
        <w:rPr>
          <w:sz w:val="24"/>
        </w:rPr>
      </w:pPr>
      <w:r>
        <w:rPr>
          <w:sz w:val="24"/>
        </w:rPr>
        <w:t xml:space="preserve">Reports may be made at any time, including non-business hours, by using </w:t>
      </w:r>
      <w:r>
        <w:rPr>
          <w:spacing w:val="-4"/>
          <w:sz w:val="24"/>
        </w:rPr>
        <w:t>the</w:t>
      </w:r>
      <w:r>
        <w:rPr>
          <w:spacing w:val="58"/>
          <w:sz w:val="24"/>
        </w:rPr>
        <w:t xml:space="preserve"> </w:t>
      </w:r>
      <w:r>
        <w:rPr>
          <w:sz w:val="24"/>
        </w:rPr>
        <w:t>telephone or electronic mail address to the Title IX Coordinator’s office.</w:t>
      </w:r>
    </w:p>
    <w:p w:rsidR="00427BA4" w:rsidRDefault="00427BA4">
      <w:pPr>
        <w:pStyle w:val="BodyText"/>
        <w:spacing w:before="4"/>
      </w:pPr>
    </w:p>
    <w:p w:rsidR="00427BA4" w:rsidRDefault="00BE6E72">
      <w:pPr>
        <w:pStyle w:val="ListParagraph"/>
        <w:numPr>
          <w:ilvl w:val="0"/>
          <w:numId w:val="8"/>
        </w:numPr>
        <w:tabs>
          <w:tab w:val="left" w:pos="820"/>
        </w:tabs>
        <w:jc w:val="both"/>
        <w:rPr>
          <w:sz w:val="24"/>
        </w:rPr>
      </w:pPr>
      <w:r>
        <w:rPr>
          <w:sz w:val="24"/>
        </w:rPr>
        <w:t xml:space="preserve">Upon actual knowledge or notice of alleged sexual harassment (as defined above) of </w:t>
      </w:r>
      <w:r>
        <w:rPr>
          <w:spacing w:val="-15"/>
          <w:sz w:val="24"/>
        </w:rPr>
        <w:t xml:space="preserve">a </w:t>
      </w:r>
      <w:r>
        <w:rPr>
          <w:sz w:val="24"/>
        </w:rPr>
        <w:t>student, the Title IX Coo</w:t>
      </w:r>
      <w:r w:rsidR="0094294D">
        <w:rPr>
          <w:sz w:val="24"/>
        </w:rPr>
        <w:t>rdinator must promptly within 72</w:t>
      </w:r>
      <w:r>
        <w:rPr>
          <w:sz w:val="24"/>
        </w:rPr>
        <w:t xml:space="preserve"> hours contact </w:t>
      </w:r>
      <w:r>
        <w:rPr>
          <w:spacing w:val="-6"/>
          <w:sz w:val="24"/>
        </w:rPr>
        <w:t xml:space="preserve">the </w:t>
      </w:r>
      <w:r>
        <w:rPr>
          <w:sz w:val="24"/>
        </w:rPr>
        <w:t xml:space="preserve">complainant student and, as appropriate, parent/guardian to determine the </w:t>
      </w:r>
      <w:r>
        <w:rPr>
          <w:spacing w:val="-3"/>
          <w:sz w:val="24"/>
        </w:rPr>
        <w:t xml:space="preserve">available </w:t>
      </w:r>
      <w:r>
        <w:rPr>
          <w:sz w:val="24"/>
        </w:rPr>
        <w:t xml:space="preserve">facts involving the report and to discuss all options, including the availability </w:t>
      </w:r>
      <w:r>
        <w:rPr>
          <w:spacing w:val="-7"/>
          <w:sz w:val="24"/>
        </w:rPr>
        <w:t xml:space="preserve">of </w:t>
      </w:r>
      <w:r>
        <w:rPr>
          <w:sz w:val="24"/>
        </w:rPr>
        <w:t xml:space="preserve">supportive measures and consider the complainant’s wishes with respect to supportive measures. Supportive measures (as defined above) are available with or without </w:t>
      </w:r>
      <w:r>
        <w:rPr>
          <w:spacing w:val="-4"/>
          <w:sz w:val="24"/>
        </w:rPr>
        <w:t xml:space="preserve">the </w:t>
      </w:r>
      <w:r>
        <w:rPr>
          <w:sz w:val="24"/>
        </w:rPr>
        <w:t>filing of a formal complaint.</w:t>
      </w:r>
    </w:p>
    <w:p w:rsidR="00427BA4" w:rsidRDefault="00427BA4">
      <w:pPr>
        <w:pStyle w:val="BodyText"/>
        <w:spacing w:before="4"/>
      </w:pPr>
    </w:p>
    <w:p w:rsidR="00427BA4" w:rsidRDefault="00BE6E72">
      <w:pPr>
        <w:pStyle w:val="ListParagraph"/>
        <w:numPr>
          <w:ilvl w:val="0"/>
          <w:numId w:val="8"/>
        </w:numPr>
        <w:tabs>
          <w:tab w:val="left" w:pos="820"/>
        </w:tabs>
        <w:jc w:val="both"/>
        <w:rPr>
          <w:sz w:val="24"/>
        </w:rPr>
      </w:pPr>
      <w:r>
        <w:rPr>
          <w:sz w:val="24"/>
        </w:rPr>
        <w:t xml:space="preserve">The report of an alleged sexual harassment (as defined above) must be </w:t>
      </w:r>
      <w:r>
        <w:rPr>
          <w:spacing w:val="-2"/>
          <w:sz w:val="24"/>
        </w:rPr>
        <w:t xml:space="preserve">sufficiently </w:t>
      </w:r>
      <w:r>
        <w:rPr>
          <w:sz w:val="24"/>
        </w:rPr>
        <w:t xml:space="preserve">clear and explicit so that it can be recognized as a legitimate report of sexual harassment or retaliation. A report must, at a minimum, include: (a) a description of </w:t>
      </w:r>
      <w:r>
        <w:rPr>
          <w:spacing w:val="-9"/>
          <w:sz w:val="24"/>
        </w:rPr>
        <w:t xml:space="preserve">an </w:t>
      </w:r>
      <w:r>
        <w:rPr>
          <w:sz w:val="24"/>
        </w:rPr>
        <w:t>alleged</w:t>
      </w:r>
      <w:r>
        <w:rPr>
          <w:spacing w:val="54"/>
          <w:sz w:val="24"/>
        </w:rPr>
        <w:t xml:space="preserve"> </w:t>
      </w:r>
      <w:r>
        <w:rPr>
          <w:sz w:val="24"/>
        </w:rPr>
        <w:t>act</w:t>
      </w:r>
      <w:r>
        <w:rPr>
          <w:spacing w:val="55"/>
          <w:sz w:val="24"/>
        </w:rPr>
        <w:t xml:space="preserve"> </w:t>
      </w:r>
      <w:r>
        <w:rPr>
          <w:sz w:val="24"/>
        </w:rPr>
        <w:t>of</w:t>
      </w:r>
      <w:r>
        <w:rPr>
          <w:spacing w:val="55"/>
          <w:sz w:val="24"/>
        </w:rPr>
        <w:t xml:space="preserve"> </w:t>
      </w:r>
      <w:r>
        <w:rPr>
          <w:sz w:val="24"/>
        </w:rPr>
        <w:t>sexual</w:t>
      </w:r>
      <w:r>
        <w:rPr>
          <w:spacing w:val="54"/>
          <w:sz w:val="24"/>
        </w:rPr>
        <w:t xml:space="preserve"> </w:t>
      </w:r>
      <w:r>
        <w:rPr>
          <w:sz w:val="24"/>
        </w:rPr>
        <w:t>harassment,</w:t>
      </w:r>
      <w:r>
        <w:rPr>
          <w:spacing w:val="55"/>
          <w:sz w:val="24"/>
        </w:rPr>
        <w:t xml:space="preserve"> </w:t>
      </w:r>
      <w:r>
        <w:rPr>
          <w:sz w:val="24"/>
        </w:rPr>
        <w:t>including</w:t>
      </w:r>
      <w:r>
        <w:rPr>
          <w:spacing w:val="55"/>
          <w:sz w:val="24"/>
        </w:rPr>
        <w:t xml:space="preserve"> </w:t>
      </w:r>
      <w:r>
        <w:rPr>
          <w:sz w:val="24"/>
        </w:rPr>
        <w:t>the</w:t>
      </w:r>
      <w:r>
        <w:rPr>
          <w:spacing w:val="54"/>
          <w:sz w:val="24"/>
        </w:rPr>
        <w:t xml:space="preserve"> </w:t>
      </w:r>
      <w:r>
        <w:rPr>
          <w:sz w:val="24"/>
        </w:rPr>
        <w:t>date(s),</w:t>
      </w:r>
      <w:r>
        <w:rPr>
          <w:spacing w:val="55"/>
          <w:sz w:val="24"/>
        </w:rPr>
        <w:t xml:space="preserve"> </w:t>
      </w:r>
      <w:r>
        <w:rPr>
          <w:sz w:val="24"/>
        </w:rPr>
        <w:t>time(s),</w:t>
      </w:r>
      <w:r>
        <w:rPr>
          <w:spacing w:val="55"/>
          <w:sz w:val="24"/>
        </w:rPr>
        <w:t xml:space="preserve"> </w:t>
      </w:r>
      <w:r>
        <w:rPr>
          <w:sz w:val="24"/>
        </w:rPr>
        <w:t>and</w:t>
      </w:r>
      <w:r>
        <w:rPr>
          <w:spacing w:val="54"/>
          <w:sz w:val="24"/>
        </w:rPr>
        <w:t xml:space="preserve"> </w:t>
      </w:r>
      <w:r>
        <w:rPr>
          <w:sz w:val="24"/>
        </w:rPr>
        <w:t>place(s)</w:t>
      </w:r>
      <w:r>
        <w:rPr>
          <w:spacing w:val="55"/>
          <w:sz w:val="24"/>
        </w:rPr>
        <w:t xml:space="preserve"> </w:t>
      </w:r>
      <w:r>
        <w:rPr>
          <w:sz w:val="24"/>
        </w:rPr>
        <w:t>it</w:t>
      </w:r>
      <w:r>
        <w:rPr>
          <w:spacing w:val="55"/>
          <w:sz w:val="24"/>
        </w:rPr>
        <w:t xml:space="preserve"> </w:t>
      </w:r>
      <w:r>
        <w:rPr>
          <w:spacing w:val="-8"/>
          <w:sz w:val="24"/>
        </w:rPr>
        <w:t>is</w:t>
      </w:r>
    </w:p>
    <w:p w:rsidR="00427BA4" w:rsidRDefault="00427BA4">
      <w:pPr>
        <w:jc w:val="both"/>
        <w:rPr>
          <w:sz w:val="24"/>
        </w:rPr>
        <w:sectPr w:rsidR="00427BA4">
          <w:pgSz w:w="12240" w:h="15840"/>
          <w:pgMar w:top="1360" w:right="960" w:bottom="1200" w:left="980" w:header="0" w:footer="1016" w:gutter="0"/>
          <w:cols w:space="720"/>
        </w:sectPr>
      </w:pPr>
    </w:p>
    <w:p w:rsidR="00427BA4" w:rsidRDefault="00BE6E72">
      <w:pPr>
        <w:pStyle w:val="BodyText"/>
        <w:spacing w:before="80"/>
        <w:ind w:left="820"/>
      </w:pPr>
      <w:r>
        <w:lastRenderedPageBreak/>
        <w:t>alleged to have occurred; (b) identity of the alleged victim; (c) identity of the alleged harasser; and (d) identity of the reporting person.</w:t>
      </w:r>
    </w:p>
    <w:p w:rsidR="00427BA4" w:rsidRDefault="00427BA4">
      <w:pPr>
        <w:pStyle w:val="BodyText"/>
        <w:spacing w:before="4"/>
      </w:pPr>
    </w:p>
    <w:p w:rsidR="00427BA4" w:rsidRDefault="00BE6E72">
      <w:pPr>
        <w:pStyle w:val="ListParagraph"/>
        <w:numPr>
          <w:ilvl w:val="0"/>
          <w:numId w:val="8"/>
        </w:numPr>
        <w:tabs>
          <w:tab w:val="left" w:pos="820"/>
        </w:tabs>
        <w:ind w:right="268"/>
        <w:jc w:val="both"/>
        <w:rPr>
          <w:sz w:val="24"/>
        </w:rPr>
      </w:pPr>
      <w:r>
        <w:rPr>
          <w:sz w:val="24"/>
        </w:rPr>
        <w:t xml:space="preserve">During that initial contact following receipt of the report the Title IX Coordinator </w:t>
      </w:r>
      <w:r>
        <w:rPr>
          <w:spacing w:val="-5"/>
          <w:sz w:val="24"/>
        </w:rPr>
        <w:t xml:space="preserve">must </w:t>
      </w:r>
      <w:r>
        <w:rPr>
          <w:sz w:val="24"/>
        </w:rPr>
        <w:t>notify the complainant student and as appropriate parent/guardian of the right to file a formal complaint.</w:t>
      </w:r>
    </w:p>
    <w:p w:rsidR="00427BA4" w:rsidRDefault="00427BA4">
      <w:pPr>
        <w:pStyle w:val="BodyText"/>
        <w:spacing w:before="4"/>
      </w:pPr>
    </w:p>
    <w:p w:rsidR="00427BA4" w:rsidRDefault="00BE6E72">
      <w:pPr>
        <w:pStyle w:val="ListParagraph"/>
        <w:numPr>
          <w:ilvl w:val="0"/>
          <w:numId w:val="8"/>
        </w:numPr>
        <w:tabs>
          <w:tab w:val="left" w:pos="820"/>
        </w:tabs>
        <w:jc w:val="both"/>
        <w:rPr>
          <w:sz w:val="24"/>
        </w:rPr>
      </w:pPr>
      <w:r>
        <w:rPr>
          <w:sz w:val="24"/>
        </w:rPr>
        <w:t>The Title IX Coordinator must explain to the complainant student and as appropriate parent/guardian how to file a complaint.</w:t>
      </w:r>
    </w:p>
    <w:p w:rsidR="00427BA4" w:rsidRDefault="00427BA4">
      <w:pPr>
        <w:pStyle w:val="BodyText"/>
        <w:spacing w:before="4"/>
      </w:pPr>
    </w:p>
    <w:p w:rsidR="00427BA4" w:rsidRDefault="00BE6E72">
      <w:pPr>
        <w:pStyle w:val="ListParagraph"/>
        <w:numPr>
          <w:ilvl w:val="0"/>
          <w:numId w:val="8"/>
        </w:numPr>
        <w:tabs>
          <w:tab w:val="left" w:pos="820"/>
        </w:tabs>
        <w:jc w:val="both"/>
        <w:rPr>
          <w:sz w:val="24"/>
        </w:rPr>
      </w:pPr>
      <w:r>
        <w:rPr>
          <w:sz w:val="24"/>
        </w:rPr>
        <w:t>In the event the complainant student decides not to file a complaint, the Title IX Coordinator has two options to be determined based upon the circumstances, as follows:</w:t>
      </w:r>
    </w:p>
    <w:p w:rsidR="00427BA4" w:rsidRDefault="00427BA4">
      <w:pPr>
        <w:pStyle w:val="BodyText"/>
      </w:pPr>
    </w:p>
    <w:p w:rsidR="00427BA4" w:rsidRDefault="00BE6E72">
      <w:pPr>
        <w:pStyle w:val="ListParagraph"/>
        <w:numPr>
          <w:ilvl w:val="1"/>
          <w:numId w:val="8"/>
        </w:numPr>
        <w:tabs>
          <w:tab w:val="left" w:pos="1540"/>
        </w:tabs>
        <w:jc w:val="both"/>
        <w:rPr>
          <w:sz w:val="24"/>
        </w:rPr>
      </w:pPr>
      <w:r>
        <w:rPr>
          <w:sz w:val="24"/>
        </w:rPr>
        <w:t xml:space="preserve">The Title IX Coordinator may close the report without further action if there </w:t>
      </w:r>
      <w:r>
        <w:rPr>
          <w:spacing w:val="-9"/>
          <w:sz w:val="24"/>
        </w:rPr>
        <w:t xml:space="preserve">is </w:t>
      </w:r>
      <w:r>
        <w:rPr>
          <w:sz w:val="24"/>
        </w:rPr>
        <w:t xml:space="preserve">insufficient information to warrant opening an investigation despite </w:t>
      </w:r>
      <w:r>
        <w:rPr>
          <w:spacing w:val="-5"/>
          <w:sz w:val="24"/>
        </w:rPr>
        <w:t xml:space="preserve">the </w:t>
      </w:r>
      <w:r>
        <w:rPr>
          <w:sz w:val="24"/>
        </w:rPr>
        <w:t>complainant’s wishes. If the report is closed, the Title IX Coordinator must:</w:t>
      </w:r>
    </w:p>
    <w:p w:rsidR="00427BA4" w:rsidRDefault="00427BA4">
      <w:pPr>
        <w:pStyle w:val="BodyText"/>
      </w:pPr>
    </w:p>
    <w:p w:rsidR="00427BA4" w:rsidRDefault="00BE6E72">
      <w:pPr>
        <w:pStyle w:val="ListParagraph"/>
        <w:numPr>
          <w:ilvl w:val="2"/>
          <w:numId w:val="8"/>
        </w:numPr>
        <w:tabs>
          <w:tab w:val="left" w:pos="2979"/>
          <w:tab w:val="left" w:pos="2980"/>
        </w:tabs>
        <w:rPr>
          <w:sz w:val="24"/>
        </w:rPr>
      </w:pPr>
      <w:r>
        <w:rPr>
          <w:sz w:val="24"/>
        </w:rPr>
        <w:t xml:space="preserve">provide supportive measures as appropriate, which must </w:t>
      </w:r>
      <w:r>
        <w:rPr>
          <w:spacing w:val="-3"/>
          <w:sz w:val="24"/>
        </w:rPr>
        <w:t xml:space="preserve">remain </w:t>
      </w:r>
      <w:r>
        <w:rPr>
          <w:sz w:val="24"/>
        </w:rPr>
        <w:t>confidential;</w:t>
      </w:r>
    </w:p>
    <w:p w:rsidR="00427BA4" w:rsidRDefault="00BE6E72">
      <w:pPr>
        <w:pStyle w:val="ListParagraph"/>
        <w:numPr>
          <w:ilvl w:val="2"/>
          <w:numId w:val="8"/>
        </w:numPr>
        <w:tabs>
          <w:tab w:val="left" w:pos="2979"/>
          <w:tab w:val="left" w:pos="2980"/>
        </w:tabs>
        <w:rPr>
          <w:sz w:val="24"/>
        </w:rPr>
      </w:pPr>
      <w:r>
        <w:rPr>
          <w:sz w:val="24"/>
        </w:rPr>
        <w:t xml:space="preserve">document reasons why closure of the report was not </w:t>
      </w:r>
      <w:r>
        <w:rPr>
          <w:spacing w:val="-2"/>
          <w:sz w:val="24"/>
        </w:rPr>
        <w:t xml:space="preserve">deliberately </w:t>
      </w:r>
      <w:r>
        <w:rPr>
          <w:sz w:val="24"/>
        </w:rPr>
        <w:t>indifferent</w:t>
      </w:r>
    </w:p>
    <w:p w:rsidR="00427BA4" w:rsidRDefault="00BE6E72">
      <w:pPr>
        <w:pStyle w:val="ListParagraph"/>
        <w:numPr>
          <w:ilvl w:val="2"/>
          <w:numId w:val="8"/>
        </w:numPr>
        <w:tabs>
          <w:tab w:val="left" w:pos="2979"/>
          <w:tab w:val="left" w:pos="2980"/>
        </w:tabs>
        <w:ind w:right="268"/>
        <w:rPr>
          <w:sz w:val="24"/>
        </w:rPr>
      </w:pPr>
      <w:r>
        <w:rPr>
          <w:sz w:val="24"/>
        </w:rPr>
        <w:t>document measures taken to preserve and restore equal access to programs or activities;</w:t>
      </w:r>
    </w:p>
    <w:p w:rsidR="00427BA4" w:rsidRDefault="00BE6E72">
      <w:pPr>
        <w:pStyle w:val="ListParagraph"/>
        <w:numPr>
          <w:ilvl w:val="2"/>
          <w:numId w:val="8"/>
        </w:numPr>
        <w:tabs>
          <w:tab w:val="left" w:pos="2979"/>
          <w:tab w:val="left" w:pos="2980"/>
        </w:tabs>
        <w:ind w:right="268"/>
        <w:rPr>
          <w:sz w:val="24"/>
        </w:rPr>
      </w:pPr>
      <w:r>
        <w:rPr>
          <w:sz w:val="24"/>
        </w:rPr>
        <w:t>if no supportive measures are provided, document the reasons why the response was not clearly unreasonable, and</w:t>
      </w:r>
    </w:p>
    <w:p w:rsidR="00427BA4" w:rsidRDefault="00BE6E72">
      <w:pPr>
        <w:pStyle w:val="ListParagraph"/>
        <w:numPr>
          <w:ilvl w:val="2"/>
          <w:numId w:val="8"/>
        </w:numPr>
        <w:tabs>
          <w:tab w:val="left" w:pos="2979"/>
          <w:tab w:val="left" w:pos="2980"/>
        </w:tabs>
        <w:ind w:right="0"/>
        <w:rPr>
          <w:sz w:val="24"/>
        </w:rPr>
      </w:pPr>
      <w:r>
        <w:rPr>
          <w:sz w:val="24"/>
        </w:rPr>
        <w:t>maintain the confidential report for seven (7) years.</w:t>
      </w:r>
    </w:p>
    <w:p w:rsidR="00427BA4" w:rsidRDefault="00427BA4">
      <w:pPr>
        <w:pStyle w:val="BodyText"/>
      </w:pPr>
    </w:p>
    <w:p w:rsidR="00427BA4" w:rsidRDefault="00BE6E72">
      <w:pPr>
        <w:pStyle w:val="ListParagraph"/>
        <w:numPr>
          <w:ilvl w:val="1"/>
          <w:numId w:val="8"/>
        </w:numPr>
        <w:tabs>
          <w:tab w:val="left" w:pos="1540"/>
        </w:tabs>
        <w:jc w:val="both"/>
        <w:rPr>
          <w:sz w:val="24"/>
        </w:rPr>
      </w:pPr>
      <w:r>
        <w:rPr>
          <w:sz w:val="24"/>
        </w:rPr>
        <w:t xml:space="preserve">The Title IX Coordinator may sign and file a formal complaint even where </w:t>
      </w:r>
      <w:r>
        <w:rPr>
          <w:spacing w:val="-6"/>
          <w:sz w:val="24"/>
        </w:rPr>
        <w:t xml:space="preserve">the </w:t>
      </w:r>
      <w:r>
        <w:rPr>
          <w:sz w:val="24"/>
        </w:rPr>
        <w:t xml:space="preserve">complainant does not wish to move forward. The Title IX Coordinator will </w:t>
      </w:r>
      <w:r>
        <w:rPr>
          <w:spacing w:val="-3"/>
          <w:sz w:val="24"/>
        </w:rPr>
        <w:t xml:space="preserve">open </w:t>
      </w:r>
      <w:r>
        <w:rPr>
          <w:sz w:val="24"/>
        </w:rPr>
        <w:t>an investigation despite the complainant’s wishes if the report is sufficient to impart knowledge that any person is sexually harassing or assaulting students or implies a pattern of sexual harassment by a person in a position of authority.</w:t>
      </w:r>
    </w:p>
    <w:p w:rsidR="00427BA4" w:rsidRDefault="00427BA4">
      <w:pPr>
        <w:pStyle w:val="BodyText"/>
        <w:spacing w:before="11"/>
        <w:rPr>
          <w:sz w:val="15"/>
        </w:rPr>
      </w:pPr>
    </w:p>
    <w:p w:rsidR="00427BA4" w:rsidRDefault="00BE6E72">
      <w:pPr>
        <w:pStyle w:val="BodyText"/>
        <w:spacing w:before="92"/>
        <w:ind w:left="100"/>
      </w:pPr>
      <w:r>
        <w:rPr>
          <w:spacing w:val="-174"/>
          <w:u w:val="single"/>
        </w:rPr>
        <w:t>C</w:t>
      </w:r>
      <w:r>
        <w:rPr>
          <w:spacing w:val="106"/>
        </w:rPr>
        <w:t xml:space="preserve"> </w:t>
      </w:r>
      <w:r>
        <w:rPr>
          <w:u w:val="single"/>
        </w:rPr>
        <w:t>OMPLAINT PROCEDURE</w:t>
      </w:r>
    </w:p>
    <w:p w:rsidR="00427BA4" w:rsidRDefault="00427BA4">
      <w:pPr>
        <w:pStyle w:val="BodyText"/>
        <w:rPr>
          <w:sz w:val="16"/>
        </w:rPr>
      </w:pPr>
    </w:p>
    <w:p w:rsidR="00427BA4" w:rsidRDefault="00BE6E72">
      <w:pPr>
        <w:pStyle w:val="BodyText"/>
        <w:spacing w:before="92"/>
        <w:ind w:left="100" w:right="269"/>
        <w:jc w:val="both"/>
      </w:pPr>
      <w:r>
        <w:t xml:space="preserve">Upon receipt of a formal written complaint filed by a complainant student or signed by </w:t>
      </w:r>
      <w:r>
        <w:rPr>
          <w:spacing w:val="-5"/>
        </w:rPr>
        <w:t xml:space="preserve">the </w:t>
      </w:r>
      <w:r>
        <w:t xml:space="preserve">Title IX Coordinator, the Title IX Coordinator must immediately provide written notice to </w:t>
      </w:r>
      <w:r>
        <w:rPr>
          <w:spacing w:val="-7"/>
        </w:rPr>
        <w:t xml:space="preserve">the </w:t>
      </w:r>
      <w:r>
        <w:t>known parties, containing a copy of these grievance procedures, including the informal resolution process and appeals processes. Such written notice must contain the following elements:</w:t>
      </w:r>
    </w:p>
    <w:p w:rsidR="00427BA4" w:rsidRDefault="00427BA4">
      <w:pPr>
        <w:pStyle w:val="BodyText"/>
        <w:spacing w:before="4"/>
      </w:pPr>
    </w:p>
    <w:p w:rsidR="00427BA4" w:rsidRDefault="00BE6E72">
      <w:pPr>
        <w:pStyle w:val="ListParagraph"/>
        <w:numPr>
          <w:ilvl w:val="0"/>
          <w:numId w:val="7"/>
        </w:numPr>
        <w:tabs>
          <w:tab w:val="left" w:pos="820"/>
        </w:tabs>
        <w:jc w:val="both"/>
        <w:rPr>
          <w:sz w:val="24"/>
        </w:rPr>
      </w:pPr>
      <w:r>
        <w:rPr>
          <w:sz w:val="24"/>
        </w:rPr>
        <w:t xml:space="preserve">Notice of the allegations of sexual harassment potentially constituting </w:t>
      </w:r>
      <w:r>
        <w:rPr>
          <w:spacing w:val="-3"/>
          <w:sz w:val="24"/>
        </w:rPr>
        <w:t xml:space="preserve">“sexual </w:t>
      </w:r>
      <w:r>
        <w:rPr>
          <w:sz w:val="24"/>
        </w:rPr>
        <w:t xml:space="preserve">harassment” (as defined above) to include sufficient details known at the time </w:t>
      </w:r>
      <w:r>
        <w:rPr>
          <w:spacing w:val="-6"/>
          <w:sz w:val="24"/>
        </w:rPr>
        <w:t xml:space="preserve">and </w:t>
      </w:r>
      <w:r>
        <w:rPr>
          <w:sz w:val="24"/>
        </w:rPr>
        <w:t>allowing time to prepare a response before any initial interview or other proceeding. Sufficient details include the identities of the known parties involved in the incident,</w:t>
      </w:r>
      <w:r>
        <w:rPr>
          <w:spacing w:val="40"/>
          <w:sz w:val="24"/>
        </w:rPr>
        <w:t xml:space="preserve"> </w:t>
      </w:r>
      <w:r>
        <w:rPr>
          <w:spacing w:val="-5"/>
          <w:sz w:val="24"/>
        </w:rPr>
        <w:t>the</w:t>
      </w:r>
    </w:p>
    <w:p w:rsidR="00427BA4" w:rsidRDefault="00427BA4">
      <w:pPr>
        <w:jc w:val="both"/>
        <w:rPr>
          <w:sz w:val="24"/>
        </w:rPr>
        <w:sectPr w:rsidR="00427BA4">
          <w:pgSz w:w="12240" w:h="15840"/>
          <w:pgMar w:top="1360" w:right="960" w:bottom="1200" w:left="980" w:header="0" w:footer="1016" w:gutter="0"/>
          <w:cols w:space="720"/>
        </w:sectPr>
      </w:pPr>
    </w:p>
    <w:p w:rsidR="00427BA4" w:rsidRDefault="00BE6E72">
      <w:pPr>
        <w:pStyle w:val="BodyText"/>
        <w:spacing w:before="80"/>
        <w:ind w:left="820" w:right="269"/>
      </w:pPr>
      <w:r>
        <w:lastRenderedPageBreak/>
        <w:t>conduct allegedly constituting sexual harassment, and the date and location of the alleged incident, if known.</w:t>
      </w:r>
    </w:p>
    <w:p w:rsidR="00427BA4" w:rsidRDefault="00427BA4">
      <w:pPr>
        <w:pStyle w:val="BodyText"/>
        <w:spacing w:before="4"/>
      </w:pPr>
    </w:p>
    <w:p w:rsidR="00427BA4" w:rsidRDefault="00BE6E72">
      <w:pPr>
        <w:pStyle w:val="ListParagraph"/>
        <w:numPr>
          <w:ilvl w:val="0"/>
          <w:numId w:val="7"/>
        </w:numPr>
        <w:tabs>
          <w:tab w:val="left" w:pos="820"/>
        </w:tabs>
        <w:jc w:val="both"/>
        <w:rPr>
          <w:sz w:val="24"/>
        </w:rPr>
      </w:pPr>
      <w:r>
        <w:rPr>
          <w:sz w:val="24"/>
        </w:rPr>
        <w:t xml:space="preserve">A statement that the complainant and respondent will be treated equitably by providing remedies for a complaint when the determination of responsibility for sexual harassment has been made against the respondent and by following this grievance process before imposing against a respondent any disciplinary sanctions or </w:t>
      </w:r>
      <w:r>
        <w:rPr>
          <w:spacing w:val="-3"/>
          <w:sz w:val="24"/>
        </w:rPr>
        <w:t xml:space="preserve">other </w:t>
      </w:r>
      <w:r>
        <w:rPr>
          <w:sz w:val="24"/>
        </w:rPr>
        <w:t xml:space="preserve">actions that are not supportive measures. Remedies must be designed to restore </w:t>
      </w:r>
      <w:r>
        <w:rPr>
          <w:spacing w:val="-9"/>
          <w:sz w:val="24"/>
        </w:rPr>
        <w:t>or</w:t>
      </w:r>
      <w:r>
        <w:rPr>
          <w:spacing w:val="48"/>
          <w:sz w:val="24"/>
        </w:rPr>
        <w:t xml:space="preserve"> </w:t>
      </w:r>
      <w:r>
        <w:rPr>
          <w:sz w:val="24"/>
        </w:rPr>
        <w:t xml:space="preserve">preserve equal access to the </w:t>
      </w:r>
      <w:r w:rsidR="00A319B5">
        <w:rPr>
          <w:sz w:val="24"/>
        </w:rPr>
        <w:t>Morehouse Parish School Board</w:t>
      </w:r>
      <w:r>
        <w:rPr>
          <w:sz w:val="24"/>
        </w:rPr>
        <w:t xml:space="preserve">’s education program </w:t>
      </w:r>
      <w:r>
        <w:rPr>
          <w:spacing w:val="-6"/>
          <w:sz w:val="24"/>
        </w:rPr>
        <w:t xml:space="preserve">or </w:t>
      </w:r>
      <w:r>
        <w:rPr>
          <w:sz w:val="24"/>
        </w:rPr>
        <w:t>activities and include individual services such as “supportive measures”; however, remedies can be disciplinary or punitive and need not avoid burdening the respondent.</w:t>
      </w:r>
    </w:p>
    <w:p w:rsidR="00427BA4" w:rsidRDefault="00427BA4">
      <w:pPr>
        <w:pStyle w:val="BodyText"/>
        <w:spacing w:before="4"/>
      </w:pPr>
    </w:p>
    <w:p w:rsidR="00427BA4" w:rsidRDefault="00BE6E72">
      <w:pPr>
        <w:pStyle w:val="ListParagraph"/>
        <w:numPr>
          <w:ilvl w:val="0"/>
          <w:numId w:val="7"/>
        </w:numPr>
        <w:tabs>
          <w:tab w:val="left" w:pos="820"/>
        </w:tabs>
        <w:ind w:right="268"/>
        <w:jc w:val="both"/>
        <w:rPr>
          <w:sz w:val="24"/>
        </w:rPr>
      </w:pPr>
      <w:r>
        <w:rPr>
          <w:sz w:val="24"/>
        </w:rPr>
        <w:t xml:space="preserve">A statement that the respondent is presumed not responsible for the alleged </w:t>
      </w:r>
      <w:r>
        <w:rPr>
          <w:spacing w:val="-3"/>
          <w:sz w:val="24"/>
        </w:rPr>
        <w:t xml:space="preserve">conduct </w:t>
      </w:r>
      <w:r>
        <w:rPr>
          <w:sz w:val="24"/>
        </w:rPr>
        <w:t>until a determination regarding responsibility is made at the conclusion of the investigation process by another person as the Decision-Maker.</w:t>
      </w:r>
    </w:p>
    <w:p w:rsidR="00427BA4" w:rsidRDefault="00427BA4">
      <w:pPr>
        <w:pStyle w:val="BodyText"/>
        <w:spacing w:before="4"/>
      </w:pPr>
    </w:p>
    <w:p w:rsidR="00427BA4" w:rsidRDefault="00BE6E72">
      <w:pPr>
        <w:pStyle w:val="ListParagraph"/>
        <w:numPr>
          <w:ilvl w:val="0"/>
          <w:numId w:val="7"/>
        </w:numPr>
        <w:tabs>
          <w:tab w:val="left" w:pos="820"/>
        </w:tabs>
        <w:jc w:val="both"/>
        <w:rPr>
          <w:sz w:val="24"/>
        </w:rPr>
      </w:pPr>
      <w:r>
        <w:rPr>
          <w:sz w:val="24"/>
        </w:rPr>
        <w:t xml:space="preserve">Notice informing each party that they may have an advisor of their choice, who </w:t>
      </w:r>
      <w:r>
        <w:rPr>
          <w:spacing w:val="-6"/>
          <w:sz w:val="24"/>
        </w:rPr>
        <w:t xml:space="preserve">may </w:t>
      </w:r>
      <w:r>
        <w:rPr>
          <w:sz w:val="24"/>
        </w:rPr>
        <w:t xml:space="preserve">be, but is not required to be, an attorney and who may inspect and review all evidence obtained as part of the investigation that is directly related to the allegations raised </w:t>
      </w:r>
      <w:r>
        <w:rPr>
          <w:spacing w:val="-6"/>
          <w:sz w:val="24"/>
        </w:rPr>
        <w:t xml:space="preserve">in </w:t>
      </w:r>
      <w:r>
        <w:rPr>
          <w:sz w:val="24"/>
        </w:rPr>
        <w:t>the formal complaint.</w:t>
      </w:r>
    </w:p>
    <w:p w:rsidR="00427BA4" w:rsidRDefault="00427BA4">
      <w:pPr>
        <w:pStyle w:val="BodyText"/>
        <w:spacing w:before="4"/>
      </w:pPr>
    </w:p>
    <w:p w:rsidR="00427BA4" w:rsidRDefault="00BE6E72">
      <w:pPr>
        <w:pStyle w:val="ListParagraph"/>
        <w:numPr>
          <w:ilvl w:val="0"/>
          <w:numId w:val="7"/>
        </w:numPr>
        <w:tabs>
          <w:tab w:val="left" w:pos="820"/>
        </w:tabs>
        <w:jc w:val="both"/>
        <w:rPr>
          <w:sz w:val="24"/>
        </w:rPr>
      </w:pPr>
      <w:r>
        <w:rPr>
          <w:sz w:val="24"/>
        </w:rPr>
        <w:t xml:space="preserve">Notice of any provision in the </w:t>
      </w:r>
      <w:r w:rsidR="00A319B5">
        <w:rPr>
          <w:sz w:val="24"/>
        </w:rPr>
        <w:t>Morehouse Parish School Board</w:t>
      </w:r>
      <w:r>
        <w:rPr>
          <w:sz w:val="24"/>
        </w:rPr>
        <w:t xml:space="preserve">’s code of conduct </w:t>
      </w:r>
      <w:r>
        <w:rPr>
          <w:spacing w:val="-5"/>
          <w:sz w:val="24"/>
        </w:rPr>
        <w:t xml:space="preserve">that </w:t>
      </w:r>
      <w:r>
        <w:rPr>
          <w:sz w:val="24"/>
        </w:rPr>
        <w:t>prohibits knowingly making false statements or knowingly submitting false information during the complaint process.</w:t>
      </w:r>
    </w:p>
    <w:p w:rsidR="00427BA4" w:rsidRDefault="00427BA4">
      <w:pPr>
        <w:pStyle w:val="BodyText"/>
        <w:spacing w:before="4"/>
      </w:pPr>
    </w:p>
    <w:p w:rsidR="00427BA4" w:rsidRDefault="00BE6E72">
      <w:pPr>
        <w:pStyle w:val="ListParagraph"/>
        <w:numPr>
          <w:ilvl w:val="0"/>
          <w:numId w:val="7"/>
        </w:numPr>
        <w:tabs>
          <w:tab w:val="left" w:pos="820"/>
        </w:tabs>
        <w:jc w:val="both"/>
        <w:rPr>
          <w:sz w:val="24"/>
        </w:rPr>
      </w:pPr>
      <w:r>
        <w:rPr>
          <w:sz w:val="24"/>
        </w:rPr>
        <w:t xml:space="preserve">A statement that, if, in the course of an investigation, the Title IX Coordinator or designated Investigator decides to investigate allegations about the complainant </w:t>
      </w:r>
      <w:r>
        <w:rPr>
          <w:spacing w:val="-9"/>
          <w:sz w:val="24"/>
        </w:rPr>
        <w:t xml:space="preserve">or </w:t>
      </w:r>
      <w:r>
        <w:rPr>
          <w:sz w:val="24"/>
        </w:rPr>
        <w:t xml:space="preserve">respondent that are not included in the notice provided pursuant to this section, </w:t>
      </w:r>
      <w:r>
        <w:rPr>
          <w:spacing w:val="-6"/>
          <w:sz w:val="24"/>
        </w:rPr>
        <w:t xml:space="preserve">the </w:t>
      </w:r>
      <w:r>
        <w:rPr>
          <w:sz w:val="24"/>
        </w:rPr>
        <w:t xml:space="preserve">Title IX Coordinator must provide written notice of the additional allegations to </w:t>
      </w:r>
      <w:r>
        <w:rPr>
          <w:spacing w:val="-5"/>
          <w:sz w:val="24"/>
        </w:rPr>
        <w:t xml:space="preserve">the </w:t>
      </w:r>
      <w:r>
        <w:rPr>
          <w:sz w:val="24"/>
        </w:rPr>
        <w:t>parties whose identities are known.</w:t>
      </w:r>
    </w:p>
    <w:p w:rsidR="00427BA4" w:rsidRDefault="00427BA4">
      <w:pPr>
        <w:pStyle w:val="BodyText"/>
        <w:spacing w:before="4"/>
      </w:pPr>
    </w:p>
    <w:p w:rsidR="00427BA4" w:rsidRDefault="00BE6E72">
      <w:pPr>
        <w:pStyle w:val="ListParagraph"/>
        <w:numPr>
          <w:ilvl w:val="0"/>
          <w:numId w:val="7"/>
        </w:numPr>
        <w:tabs>
          <w:tab w:val="left" w:pos="820"/>
        </w:tabs>
        <w:jc w:val="both"/>
        <w:rPr>
          <w:sz w:val="24"/>
        </w:rPr>
      </w:pPr>
      <w:r>
        <w:rPr>
          <w:sz w:val="24"/>
        </w:rPr>
        <w:t xml:space="preserve">Notice that the Title IX Coordinator may consolidate formal complaints as </w:t>
      </w:r>
      <w:r>
        <w:rPr>
          <w:spacing w:val="-9"/>
          <w:sz w:val="24"/>
        </w:rPr>
        <w:t>to</w:t>
      </w:r>
      <w:r>
        <w:rPr>
          <w:spacing w:val="48"/>
          <w:sz w:val="24"/>
        </w:rPr>
        <w:t xml:space="preserve"> </w:t>
      </w:r>
      <w:r>
        <w:rPr>
          <w:sz w:val="24"/>
        </w:rPr>
        <w:t xml:space="preserve">allegations of sexual harassment against more than one respondent, or by more than one complainant against one or more respondents, or by one party against the other party, where the allegations of sexual harassment arise out of the same facts </w:t>
      </w:r>
      <w:r>
        <w:rPr>
          <w:spacing w:val="-9"/>
          <w:sz w:val="24"/>
        </w:rPr>
        <w:t xml:space="preserve">or </w:t>
      </w:r>
      <w:r>
        <w:rPr>
          <w:sz w:val="24"/>
        </w:rPr>
        <w:t xml:space="preserve">circumstances. Where a complaint process involves more than one complainant or more than one respondent, references in this section to the singular </w:t>
      </w:r>
      <w:r>
        <w:rPr>
          <w:spacing w:val="-3"/>
          <w:sz w:val="24"/>
        </w:rPr>
        <w:t xml:space="preserve">“party,” </w:t>
      </w:r>
      <w:r>
        <w:rPr>
          <w:sz w:val="24"/>
        </w:rPr>
        <w:t>“complainant,” or “respondent” include the plural, as applicable.</w:t>
      </w:r>
    </w:p>
    <w:p w:rsidR="00427BA4" w:rsidRDefault="00427BA4">
      <w:pPr>
        <w:pStyle w:val="BodyText"/>
        <w:spacing w:before="4"/>
      </w:pPr>
    </w:p>
    <w:p w:rsidR="00427BA4" w:rsidRDefault="00BE6E72">
      <w:pPr>
        <w:pStyle w:val="ListParagraph"/>
        <w:numPr>
          <w:ilvl w:val="0"/>
          <w:numId w:val="7"/>
        </w:numPr>
        <w:tabs>
          <w:tab w:val="left" w:pos="820"/>
        </w:tabs>
        <w:jc w:val="both"/>
        <w:rPr>
          <w:sz w:val="24"/>
        </w:rPr>
      </w:pPr>
      <w:r>
        <w:rPr>
          <w:sz w:val="24"/>
        </w:rPr>
        <w:t xml:space="preserve">Notice that, if the respondent is an </w:t>
      </w:r>
      <w:r w:rsidR="00A319B5">
        <w:rPr>
          <w:sz w:val="24"/>
        </w:rPr>
        <w:t>Morehouse Parish School Board</w:t>
      </w:r>
      <w:r>
        <w:rPr>
          <w:sz w:val="24"/>
        </w:rPr>
        <w:t xml:space="preserve"> employee,</w:t>
      </w:r>
      <w:r>
        <w:rPr>
          <w:spacing w:val="33"/>
          <w:sz w:val="24"/>
        </w:rPr>
        <w:t xml:space="preserve"> </w:t>
      </w:r>
      <w:r>
        <w:rPr>
          <w:spacing w:val="-5"/>
          <w:sz w:val="24"/>
        </w:rPr>
        <w:t xml:space="preserve">such </w:t>
      </w:r>
      <w:r>
        <w:rPr>
          <w:sz w:val="24"/>
        </w:rPr>
        <w:t xml:space="preserve">employee may be placed on administrative leave during the pendency of a </w:t>
      </w:r>
      <w:r>
        <w:rPr>
          <w:spacing w:val="-3"/>
          <w:sz w:val="24"/>
        </w:rPr>
        <w:t xml:space="preserve">grievance </w:t>
      </w:r>
      <w:r>
        <w:rPr>
          <w:sz w:val="24"/>
        </w:rPr>
        <w:t>process.</w:t>
      </w:r>
    </w:p>
    <w:p w:rsidR="00427BA4" w:rsidRDefault="00427BA4">
      <w:pPr>
        <w:pStyle w:val="BodyText"/>
      </w:pPr>
    </w:p>
    <w:p w:rsidR="00427BA4" w:rsidRDefault="00BE6E72">
      <w:pPr>
        <w:pStyle w:val="ListParagraph"/>
        <w:numPr>
          <w:ilvl w:val="0"/>
          <w:numId w:val="7"/>
        </w:numPr>
        <w:tabs>
          <w:tab w:val="left" w:pos="820"/>
        </w:tabs>
        <w:jc w:val="both"/>
        <w:rPr>
          <w:sz w:val="24"/>
        </w:rPr>
      </w:pPr>
      <w:r>
        <w:rPr>
          <w:sz w:val="24"/>
        </w:rPr>
        <w:t xml:space="preserve">Notice that, if the respondent is an </w:t>
      </w:r>
      <w:r w:rsidR="00A319B5">
        <w:rPr>
          <w:sz w:val="24"/>
        </w:rPr>
        <w:t>Morehouse Parish School Board</w:t>
      </w:r>
      <w:r>
        <w:rPr>
          <w:sz w:val="24"/>
        </w:rPr>
        <w:t xml:space="preserve"> student, such student may be subject to emergency removal if, after a safety and risk analysis it </w:t>
      </w:r>
      <w:r>
        <w:rPr>
          <w:spacing w:val="-6"/>
          <w:sz w:val="24"/>
        </w:rPr>
        <w:t xml:space="preserve">is </w:t>
      </w:r>
      <w:r>
        <w:rPr>
          <w:sz w:val="24"/>
        </w:rPr>
        <w:t>determined</w:t>
      </w:r>
      <w:r>
        <w:rPr>
          <w:spacing w:val="45"/>
          <w:sz w:val="24"/>
        </w:rPr>
        <w:t xml:space="preserve"> </w:t>
      </w:r>
      <w:r>
        <w:rPr>
          <w:sz w:val="24"/>
        </w:rPr>
        <w:t>that</w:t>
      </w:r>
      <w:r>
        <w:rPr>
          <w:spacing w:val="46"/>
          <w:sz w:val="24"/>
        </w:rPr>
        <w:t xml:space="preserve"> </w:t>
      </w:r>
      <w:r>
        <w:rPr>
          <w:sz w:val="24"/>
        </w:rPr>
        <w:t>the</w:t>
      </w:r>
      <w:r>
        <w:rPr>
          <w:spacing w:val="46"/>
          <w:sz w:val="24"/>
        </w:rPr>
        <w:t xml:space="preserve"> </w:t>
      </w:r>
      <w:r>
        <w:rPr>
          <w:sz w:val="24"/>
        </w:rPr>
        <w:t>student</w:t>
      </w:r>
      <w:r>
        <w:rPr>
          <w:spacing w:val="45"/>
          <w:sz w:val="24"/>
        </w:rPr>
        <w:t xml:space="preserve"> </w:t>
      </w:r>
      <w:r>
        <w:rPr>
          <w:sz w:val="24"/>
        </w:rPr>
        <w:t>is</w:t>
      </w:r>
      <w:r>
        <w:rPr>
          <w:spacing w:val="46"/>
          <w:sz w:val="24"/>
        </w:rPr>
        <w:t xml:space="preserve"> </w:t>
      </w:r>
      <w:r>
        <w:rPr>
          <w:sz w:val="24"/>
        </w:rPr>
        <w:t>an</w:t>
      </w:r>
      <w:r>
        <w:rPr>
          <w:spacing w:val="46"/>
          <w:sz w:val="24"/>
        </w:rPr>
        <w:t xml:space="preserve"> </w:t>
      </w:r>
      <w:r>
        <w:rPr>
          <w:sz w:val="24"/>
        </w:rPr>
        <w:t>immediate</w:t>
      </w:r>
      <w:r>
        <w:rPr>
          <w:spacing w:val="45"/>
          <w:sz w:val="24"/>
        </w:rPr>
        <w:t xml:space="preserve"> </w:t>
      </w:r>
      <w:r>
        <w:rPr>
          <w:sz w:val="24"/>
        </w:rPr>
        <w:t>threat.</w:t>
      </w:r>
      <w:r>
        <w:rPr>
          <w:spacing w:val="26"/>
          <w:sz w:val="24"/>
        </w:rPr>
        <w:t xml:space="preserve"> </w:t>
      </w:r>
      <w:r>
        <w:rPr>
          <w:sz w:val="24"/>
        </w:rPr>
        <w:t>Before</w:t>
      </w:r>
      <w:r>
        <w:rPr>
          <w:spacing w:val="46"/>
          <w:sz w:val="24"/>
        </w:rPr>
        <w:t xml:space="preserve"> </w:t>
      </w:r>
      <w:r>
        <w:rPr>
          <w:sz w:val="24"/>
        </w:rPr>
        <w:t>any</w:t>
      </w:r>
      <w:r>
        <w:rPr>
          <w:spacing w:val="46"/>
          <w:sz w:val="24"/>
        </w:rPr>
        <w:t xml:space="preserve"> </w:t>
      </w:r>
      <w:r>
        <w:rPr>
          <w:sz w:val="24"/>
        </w:rPr>
        <w:t>such</w:t>
      </w:r>
      <w:r>
        <w:rPr>
          <w:spacing w:val="45"/>
          <w:sz w:val="24"/>
        </w:rPr>
        <w:t xml:space="preserve"> </w:t>
      </w:r>
      <w:r>
        <w:rPr>
          <w:sz w:val="24"/>
        </w:rPr>
        <w:t>removal</w:t>
      </w:r>
      <w:r>
        <w:rPr>
          <w:spacing w:val="46"/>
          <w:sz w:val="24"/>
        </w:rPr>
        <w:t xml:space="preserve"> </w:t>
      </w:r>
      <w:r>
        <w:rPr>
          <w:sz w:val="24"/>
        </w:rPr>
        <w:t>the</w:t>
      </w:r>
    </w:p>
    <w:p w:rsidR="00427BA4" w:rsidRDefault="00427BA4">
      <w:pPr>
        <w:jc w:val="both"/>
        <w:rPr>
          <w:sz w:val="24"/>
        </w:rPr>
        <w:sectPr w:rsidR="00427BA4">
          <w:pgSz w:w="12240" w:h="15840"/>
          <w:pgMar w:top="1360" w:right="960" w:bottom="1200" w:left="980" w:header="0" w:footer="1016" w:gutter="0"/>
          <w:cols w:space="720"/>
        </w:sectPr>
      </w:pPr>
    </w:p>
    <w:p w:rsidR="00427BA4" w:rsidRDefault="00BE6E72">
      <w:pPr>
        <w:pStyle w:val="BodyText"/>
        <w:spacing w:before="80"/>
        <w:ind w:left="820" w:right="269"/>
        <w:jc w:val="both"/>
      </w:pPr>
      <w:r>
        <w:lastRenderedPageBreak/>
        <w:t>student must be provided with notice and an opportunity to challenge the decision. Additionally, students with disabilities must be afforded all procedural safeguards as may be available.</w:t>
      </w:r>
    </w:p>
    <w:p w:rsidR="00427BA4" w:rsidRDefault="00427BA4">
      <w:pPr>
        <w:pStyle w:val="BodyText"/>
      </w:pPr>
    </w:p>
    <w:p w:rsidR="00427BA4" w:rsidRDefault="00BE6E72">
      <w:pPr>
        <w:pStyle w:val="ListParagraph"/>
        <w:numPr>
          <w:ilvl w:val="0"/>
          <w:numId w:val="7"/>
        </w:numPr>
        <w:tabs>
          <w:tab w:val="left" w:pos="820"/>
        </w:tabs>
        <w:jc w:val="both"/>
        <w:rPr>
          <w:sz w:val="24"/>
        </w:rPr>
      </w:pPr>
      <w:r>
        <w:rPr>
          <w:sz w:val="24"/>
        </w:rPr>
        <w:t xml:space="preserve">Notice that retaliation, including but not necessarily limited to, intimidation, </w:t>
      </w:r>
      <w:r>
        <w:rPr>
          <w:spacing w:val="-3"/>
          <w:sz w:val="24"/>
        </w:rPr>
        <w:t xml:space="preserve">threats, </w:t>
      </w:r>
      <w:r>
        <w:rPr>
          <w:sz w:val="24"/>
        </w:rPr>
        <w:t xml:space="preserve">coercion, or discrimination of any individual with a purpose of interfering with any </w:t>
      </w:r>
      <w:r>
        <w:rPr>
          <w:spacing w:val="-3"/>
          <w:sz w:val="24"/>
        </w:rPr>
        <w:t xml:space="preserve">right </w:t>
      </w:r>
      <w:r>
        <w:rPr>
          <w:sz w:val="24"/>
        </w:rPr>
        <w:t>or privilege secured by Title IX is strictly prohibited and subject to disciplinary action.</w:t>
      </w:r>
    </w:p>
    <w:p w:rsidR="00427BA4" w:rsidRDefault="00427BA4">
      <w:pPr>
        <w:pStyle w:val="BodyText"/>
        <w:spacing w:before="11"/>
        <w:rPr>
          <w:sz w:val="15"/>
        </w:rPr>
      </w:pPr>
    </w:p>
    <w:p w:rsidR="00427BA4" w:rsidRDefault="00BE6E72">
      <w:pPr>
        <w:pStyle w:val="BodyText"/>
        <w:spacing w:before="92"/>
        <w:ind w:left="100"/>
      </w:pPr>
      <w:r>
        <w:rPr>
          <w:spacing w:val="-67"/>
          <w:u w:val="single"/>
        </w:rPr>
        <w:t>I</w:t>
      </w:r>
      <w:r>
        <w:rPr>
          <w:spacing w:val="-1"/>
          <w:u w:val="single"/>
        </w:rPr>
        <w:t xml:space="preserve"> </w:t>
      </w:r>
      <w:r>
        <w:rPr>
          <w:u w:val="single"/>
        </w:rPr>
        <w:t>NVESTIGATION OF A FORMAL COMPLAINT</w:t>
      </w:r>
    </w:p>
    <w:p w:rsidR="00427BA4" w:rsidRDefault="00427BA4">
      <w:pPr>
        <w:pStyle w:val="BodyText"/>
      </w:pPr>
    </w:p>
    <w:p w:rsidR="00427BA4" w:rsidRDefault="00BE6E72">
      <w:pPr>
        <w:pStyle w:val="BodyText"/>
        <w:ind w:left="100"/>
      </w:pPr>
      <w:r>
        <w:t>When investigating a formal complaint and throughout the grievance process, the Title IX Coordinator and Investigator will:</w:t>
      </w:r>
    </w:p>
    <w:p w:rsidR="00427BA4" w:rsidRDefault="00427BA4">
      <w:pPr>
        <w:pStyle w:val="BodyText"/>
        <w:spacing w:before="4"/>
      </w:pPr>
    </w:p>
    <w:p w:rsidR="00427BA4" w:rsidRDefault="00BE6E72">
      <w:pPr>
        <w:pStyle w:val="ListParagraph"/>
        <w:numPr>
          <w:ilvl w:val="0"/>
          <w:numId w:val="6"/>
        </w:numPr>
        <w:tabs>
          <w:tab w:val="left" w:pos="820"/>
        </w:tabs>
        <w:jc w:val="both"/>
        <w:rPr>
          <w:sz w:val="24"/>
        </w:rPr>
      </w:pPr>
      <w:r>
        <w:rPr>
          <w:sz w:val="24"/>
        </w:rPr>
        <w:t>Initiate the in</w:t>
      </w:r>
      <w:r w:rsidR="00FF3A7B">
        <w:rPr>
          <w:sz w:val="24"/>
        </w:rPr>
        <w:t>vestigative process within five</w:t>
      </w:r>
      <w:r>
        <w:rPr>
          <w:sz w:val="24"/>
        </w:rPr>
        <w:t xml:space="preserve"> (5) working days of receipt of the formal complaint and ensure that the investigation</w:t>
      </w:r>
      <w:r w:rsidR="00FF3A7B">
        <w:rPr>
          <w:sz w:val="24"/>
        </w:rPr>
        <w:t xml:space="preserve"> process is completed within 30 </w:t>
      </w:r>
      <w:r>
        <w:rPr>
          <w:spacing w:val="-3"/>
          <w:sz w:val="24"/>
        </w:rPr>
        <w:t xml:space="preserve">working </w:t>
      </w:r>
      <w:r>
        <w:rPr>
          <w:sz w:val="24"/>
        </w:rPr>
        <w:t xml:space="preserve">days of initiation of the investigation. Temporary delays and limited extensions of </w:t>
      </w:r>
      <w:r>
        <w:rPr>
          <w:spacing w:val="-4"/>
          <w:sz w:val="24"/>
        </w:rPr>
        <w:t>time</w:t>
      </w:r>
      <w:r>
        <w:rPr>
          <w:spacing w:val="58"/>
          <w:sz w:val="24"/>
        </w:rPr>
        <w:t xml:space="preserve"> </w:t>
      </w:r>
      <w:r>
        <w:rPr>
          <w:sz w:val="24"/>
        </w:rPr>
        <w:t xml:space="preserve">are permissible for good cause. Complainant and Respondent must be notified </w:t>
      </w:r>
      <w:r>
        <w:rPr>
          <w:spacing w:val="-9"/>
          <w:sz w:val="24"/>
        </w:rPr>
        <w:t xml:space="preserve">in </w:t>
      </w:r>
      <w:r>
        <w:rPr>
          <w:sz w:val="24"/>
        </w:rPr>
        <w:t>writing of any temporary delays and/or limited extensions of time with the reasons therefor.</w:t>
      </w:r>
    </w:p>
    <w:p w:rsidR="00427BA4" w:rsidRDefault="00427BA4">
      <w:pPr>
        <w:pStyle w:val="BodyText"/>
        <w:spacing w:before="4"/>
      </w:pPr>
    </w:p>
    <w:p w:rsidR="00427BA4" w:rsidRDefault="00BE6E72">
      <w:pPr>
        <w:pStyle w:val="ListParagraph"/>
        <w:numPr>
          <w:ilvl w:val="0"/>
          <w:numId w:val="6"/>
        </w:numPr>
        <w:tabs>
          <w:tab w:val="left" w:pos="820"/>
        </w:tabs>
        <w:jc w:val="both"/>
        <w:rPr>
          <w:sz w:val="24"/>
        </w:rPr>
      </w:pPr>
      <w:r>
        <w:rPr>
          <w:sz w:val="24"/>
        </w:rPr>
        <w:t xml:space="preserve">Ensure that the burden of proof and the burden of gathering evidence sufficient to reach a determination regarding responsibility rest on the Title IX Coordinator </w:t>
      </w:r>
      <w:r>
        <w:rPr>
          <w:spacing w:val="-5"/>
          <w:sz w:val="24"/>
        </w:rPr>
        <w:t xml:space="preserve">and </w:t>
      </w:r>
      <w:r>
        <w:rPr>
          <w:sz w:val="24"/>
        </w:rPr>
        <w:t xml:space="preserve">Investigator and not on the parties. However, the Title IX Coordinator and </w:t>
      </w:r>
      <w:r>
        <w:rPr>
          <w:spacing w:val="-2"/>
          <w:sz w:val="24"/>
        </w:rPr>
        <w:t xml:space="preserve">Investigator </w:t>
      </w:r>
      <w:r>
        <w:rPr>
          <w:sz w:val="24"/>
        </w:rPr>
        <w:t xml:space="preserve">cannot access, consider, disclose, or otherwise use a party’s records that are made </w:t>
      </w:r>
      <w:r>
        <w:rPr>
          <w:spacing w:val="-6"/>
          <w:sz w:val="24"/>
        </w:rPr>
        <w:t xml:space="preserve">or </w:t>
      </w:r>
      <w:r>
        <w:rPr>
          <w:sz w:val="24"/>
        </w:rPr>
        <w:t xml:space="preserve">maintained by a physician, psychiatrist, psychologist, or other recognized professional or paraprofessional acting in the professional’s or paraprofessional’s capacity, </w:t>
      </w:r>
      <w:r>
        <w:rPr>
          <w:spacing w:val="-10"/>
          <w:sz w:val="24"/>
        </w:rPr>
        <w:t xml:space="preserve">or </w:t>
      </w:r>
      <w:r>
        <w:rPr>
          <w:sz w:val="24"/>
        </w:rPr>
        <w:t xml:space="preserve">assisting in that capacity, and which are made and maintained in connection with the provision of treatment to a party, unless the Title IX Coordinator obtains that </w:t>
      </w:r>
      <w:r>
        <w:rPr>
          <w:spacing w:val="-3"/>
          <w:sz w:val="24"/>
        </w:rPr>
        <w:t xml:space="preserve">party’s </w:t>
      </w:r>
      <w:r>
        <w:rPr>
          <w:sz w:val="24"/>
        </w:rPr>
        <w:t xml:space="preserve">parent/guardian voluntary, written consent to do so for a complaint process under </w:t>
      </w:r>
      <w:r>
        <w:rPr>
          <w:spacing w:val="-3"/>
          <w:sz w:val="24"/>
        </w:rPr>
        <w:t xml:space="preserve">this </w:t>
      </w:r>
      <w:r>
        <w:rPr>
          <w:sz w:val="24"/>
        </w:rPr>
        <w:t>section. If the party is of age of majority, then such individual may provide the written consent.</w:t>
      </w:r>
    </w:p>
    <w:p w:rsidR="00427BA4" w:rsidRDefault="00427BA4">
      <w:pPr>
        <w:pStyle w:val="BodyText"/>
        <w:spacing w:before="4"/>
      </w:pPr>
    </w:p>
    <w:p w:rsidR="00427BA4" w:rsidRDefault="00BE6E72">
      <w:pPr>
        <w:pStyle w:val="ListParagraph"/>
        <w:numPr>
          <w:ilvl w:val="0"/>
          <w:numId w:val="6"/>
        </w:numPr>
        <w:tabs>
          <w:tab w:val="left" w:pos="820"/>
        </w:tabs>
        <w:jc w:val="both"/>
        <w:rPr>
          <w:sz w:val="24"/>
        </w:rPr>
      </w:pPr>
      <w:r>
        <w:rPr>
          <w:sz w:val="24"/>
        </w:rPr>
        <w:t xml:space="preserve">Provide an equal opportunity for the parties to present witnesses, including fact </w:t>
      </w:r>
      <w:r>
        <w:rPr>
          <w:spacing w:val="-5"/>
          <w:sz w:val="24"/>
        </w:rPr>
        <w:t xml:space="preserve">and </w:t>
      </w:r>
      <w:r>
        <w:rPr>
          <w:sz w:val="24"/>
        </w:rPr>
        <w:t xml:space="preserve">expert witnesses, to submit written questions for the other party/witness to answer provided the Title IX Coordinator determines the questions to be relevant, and </w:t>
      </w:r>
      <w:r>
        <w:rPr>
          <w:spacing w:val="-4"/>
          <w:sz w:val="24"/>
        </w:rPr>
        <w:t>other</w:t>
      </w:r>
      <w:r>
        <w:rPr>
          <w:spacing w:val="58"/>
          <w:sz w:val="24"/>
        </w:rPr>
        <w:t xml:space="preserve"> </w:t>
      </w:r>
      <w:r>
        <w:rPr>
          <w:sz w:val="24"/>
        </w:rPr>
        <w:t>inculpatory and exculpatory evidence to the Title IX Coordinator or Investigator.</w:t>
      </w:r>
    </w:p>
    <w:p w:rsidR="00427BA4" w:rsidRDefault="00427BA4">
      <w:pPr>
        <w:pStyle w:val="BodyText"/>
        <w:spacing w:before="4"/>
      </w:pPr>
    </w:p>
    <w:p w:rsidR="00427BA4" w:rsidRDefault="00BE6E72">
      <w:pPr>
        <w:pStyle w:val="ListParagraph"/>
        <w:numPr>
          <w:ilvl w:val="0"/>
          <w:numId w:val="6"/>
        </w:numPr>
        <w:tabs>
          <w:tab w:val="left" w:pos="820"/>
        </w:tabs>
        <w:jc w:val="both"/>
        <w:rPr>
          <w:sz w:val="24"/>
        </w:rPr>
      </w:pPr>
      <w:r>
        <w:rPr>
          <w:sz w:val="24"/>
        </w:rPr>
        <w:t xml:space="preserve">Not restrict the ability of either party to discuss the allegations under investigation or </w:t>
      </w:r>
      <w:r>
        <w:rPr>
          <w:spacing w:val="-8"/>
          <w:sz w:val="24"/>
        </w:rPr>
        <w:t xml:space="preserve">to </w:t>
      </w:r>
      <w:r>
        <w:rPr>
          <w:sz w:val="24"/>
        </w:rPr>
        <w:t>gather and present relevant evidence to the Title IX Coordinator or Investigator.</w:t>
      </w:r>
    </w:p>
    <w:p w:rsidR="00427BA4" w:rsidRDefault="00427BA4">
      <w:pPr>
        <w:pStyle w:val="BodyText"/>
        <w:spacing w:before="4"/>
      </w:pPr>
    </w:p>
    <w:p w:rsidR="00427BA4" w:rsidRDefault="00BE6E72">
      <w:pPr>
        <w:pStyle w:val="ListParagraph"/>
        <w:numPr>
          <w:ilvl w:val="0"/>
          <w:numId w:val="6"/>
        </w:numPr>
        <w:tabs>
          <w:tab w:val="left" w:pos="820"/>
        </w:tabs>
        <w:jc w:val="both"/>
        <w:rPr>
          <w:sz w:val="24"/>
        </w:rPr>
      </w:pPr>
      <w:r>
        <w:rPr>
          <w:sz w:val="24"/>
        </w:rPr>
        <w:t xml:space="preserve">Not allow as relevant evidence questions and evidence about the complainant’s </w:t>
      </w:r>
      <w:r>
        <w:rPr>
          <w:spacing w:val="-3"/>
          <w:sz w:val="24"/>
        </w:rPr>
        <w:t xml:space="preserve">sexual </w:t>
      </w:r>
      <w:r>
        <w:rPr>
          <w:sz w:val="24"/>
        </w:rPr>
        <w:t xml:space="preserve">predisposition or prior sexual behavior, unless such questions and evidence about the complainant’s prior sexual behavior are offered to prove that someone other than </w:t>
      </w:r>
      <w:r>
        <w:rPr>
          <w:spacing w:val="-6"/>
          <w:sz w:val="24"/>
        </w:rPr>
        <w:t xml:space="preserve">the </w:t>
      </w:r>
      <w:r>
        <w:rPr>
          <w:sz w:val="24"/>
        </w:rPr>
        <w:t xml:space="preserve">respondent committed the conduct alleged by the complainant, or if the questions </w:t>
      </w:r>
      <w:r>
        <w:rPr>
          <w:spacing w:val="-6"/>
          <w:sz w:val="24"/>
        </w:rPr>
        <w:t xml:space="preserve">and </w:t>
      </w:r>
      <w:r>
        <w:rPr>
          <w:sz w:val="24"/>
        </w:rPr>
        <w:t xml:space="preserve">evidence concern specific incidents of the complainant’s prior sexual behavior </w:t>
      </w:r>
      <w:r>
        <w:rPr>
          <w:spacing w:val="-5"/>
          <w:sz w:val="24"/>
        </w:rPr>
        <w:t xml:space="preserve">with </w:t>
      </w:r>
      <w:r>
        <w:rPr>
          <w:sz w:val="24"/>
        </w:rPr>
        <w:t>respect</w:t>
      </w:r>
      <w:r>
        <w:rPr>
          <w:spacing w:val="20"/>
          <w:sz w:val="24"/>
        </w:rPr>
        <w:t xml:space="preserve"> </w:t>
      </w:r>
      <w:r>
        <w:rPr>
          <w:sz w:val="24"/>
        </w:rPr>
        <w:t>to</w:t>
      </w:r>
      <w:r>
        <w:rPr>
          <w:spacing w:val="20"/>
          <w:sz w:val="24"/>
        </w:rPr>
        <w:t xml:space="preserve"> </w:t>
      </w:r>
      <w:r>
        <w:rPr>
          <w:sz w:val="24"/>
        </w:rPr>
        <w:t>the</w:t>
      </w:r>
      <w:r>
        <w:rPr>
          <w:spacing w:val="20"/>
          <w:sz w:val="24"/>
        </w:rPr>
        <w:t xml:space="preserve"> </w:t>
      </w:r>
      <w:r>
        <w:rPr>
          <w:sz w:val="24"/>
        </w:rPr>
        <w:t>respondent</w:t>
      </w:r>
      <w:r>
        <w:rPr>
          <w:spacing w:val="20"/>
          <w:sz w:val="24"/>
        </w:rPr>
        <w:t xml:space="preserve"> </w:t>
      </w:r>
      <w:r>
        <w:rPr>
          <w:sz w:val="24"/>
        </w:rPr>
        <w:t>and</w:t>
      </w:r>
      <w:r>
        <w:rPr>
          <w:spacing w:val="20"/>
          <w:sz w:val="24"/>
        </w:rPr>
        <w:t xml:space="preserve"> </w:t>
      </w:r>
      <w:r>
        <w:rPr>
          <w:sz w:val="24"/>
        </w:rPr>
        <w:t>are</w:t>
      </w:r>
      <w:r>
        <w:rPr>
          <w:spacing w:val="20"/>
          <w:sz w:val="24"/>
        </w:rPr>
        <w:t xml:space="preserve"> </w:t>
      </w:r>
      <w:r>
        <w:rPr>
          <w:sz w:val="24"/>
        </w:rPr>
        <w:t>offered</w:t>
      </w:r>
      <w:r>
        <w:rPr>
          <w:spacing w:val="20"/>
          <w:sz w:val="24"/>
        </w:rPr>
        <w:t xml:space="preserve"> </w:t>
      </w:r>
      <w:r>
        <w:rPr>
          <w:sz w:val="24"/>
        </w:rPr>
        <w:t>to</w:t>
      </w:r>
      <w:r>
        <w:rPr>
          <w:spacing w:val="20"/>
          <w:sz w:val="24"/>
        </w:rPr>
        <w:t xml:space="preserve"> </w:t>
      </w:r>
      <w:r>
        <w:rPr>
          <w:sz w:val="24"/>
        </w:rPr>
        <w:t>prove</w:t>
      </w:r>
      <w:r>
        <w:rPr>
          <w:spacing w:val="20"/>
          <w:sz w:val="24"/>
        </w:rPr>
        <w:t xml:space="preserve"> </w:t>
      </w:r>
      <w:r>
        <w:rPr>
          <w:sz w:val="24"/>
        </w:rPr>
        <w:t>consent.</w:t>
      </w:r>
      <w:r>
        <w:rPr>
          <w:spacing w:val="20"/>
          <w:sz w:val="24"/>
        </w:rPr>
        <w:t xml:space="preserve"> </w:t>
      </w:r>
      <w:r>
        <w:rPr>
          <w:sz w:val="24"/>
        </w:rPr>
        <w:t>The</w:t>
      </w:r>
      <w:r>
        <w:rPr>
          <w:spacing w:val="20"/>
          <w:sz w:val="24"/>
        </w:rPr>
        <w:t xml:space="preserve"> </w:t>
      </w:r>
      <w:r>
        <w:rPr>
          <w:sz w:val="24"/>
        </w:rPr>
        <w:t>Title</w:t>
      </w:r>
      <w:r>
        <w:rPr>
          <w:spacing w:val="20"/>
          <w:sz w:val="24"/>
        </w:rPr>
        <w:t xml:space="preserve"> </w:t>
      </w:r>
      <w:r>
        <w:rPr>
          <w:sz w:val="24"/>
        </w:rPr>
        <w:t>IX</w:t>
      </w:r>
      <w:r>
        <w:rPr>
          <w:spacing w:val="20"/>
          <w:sz w:val="24"/>
        </w:rPr>
        <w:t xml:space="preserve"> </w:t>
      </w:r>
      <w:r>
        <w:rPr>
          <w:sz w:val="24"/>
        </w:rPr>
        <w:t>Coordinator</w:t>
      </w:r>
    </w:p>
    <w:p w:rsidR="00427BA4" w:rsidRDefault="00427BA4">
      <w:pPr>
        <w:jc w:val="both"/>
        <w:rPr>
          <w:sz w:val="24"/>
        </w:rPr>
        <w:sectPr w:rsidR="00427BA4">
          <w:pgSz w:w="12240" w:h="15840"/>
          <w:pgMar w:top="1360" w:right="960" w:bottom="1200" w:left="980" w:header="0" w:footer="1016" w:gutter="0"/>
          <w:cols w:space="720"/>
        </w:sectPr>
      </w:pPr>
    </w:p>
    <w:p w:rsidR="00427BA4" w:rsidRDefault="00BE6E72">
      <w:pPr>
        <w:pStyle w:val="BodyText"/>
        <w:spacing w:before="80"/>
        <w:ind w:left="820" w:right="862"/>
      </w:pPr>
      <w:r>
        <w:lastRenderedPageBreak/>
        <w:t>or Investigator must explain to the party proposing the questions any decision to exclude a question or evidence as not relevant.</w:t>
      </w:r>
    </w:p>
    <w:p w:rsidR="00427BA4" w:rsidRDefault="00427BA4">
      <w:pPr>
        <w:pStyle w:val="BodyText"/>
        <w:spacing w:before="4"/>
      </w:pPr>
    </w:p>
    <w:p w:rsidR="00427BA4" w:rsidRDefault="00BE6E72">
      <w:pPr>
        <w:pStyle w:val="ListParagraph"/>
        <w:numPr>
          <w:ilvl w:val="0"/>
          <w:numId w:val="6"/>
        </w:numPr>
        <w:tabs>
          <w:tab w:val="left" w:pos="820"/>
        </w:tabs>
        <w:jc w:val="both"/>
        <w:rPr>
          <w:sz w:val="24"/>
        </w:rPr>
      </w:pPr>
      <w:r>
        <w:rPr>
          <w:sz w:val="24"/>
        </w:rPr>
        <w:t xml:space="preserve">Provide to a party written notice of the date, time, location, participants, and purpose </w:t>
      </w:r>
      <w:r>
        <w:rPr>
          <w:spacing w:val="-7"/>
          <w:sz w:val="24"/>
        </w:rPr>
        <w:t xml:space="preserve">of </w:t>
      </w:r>
      <w:r>
        <w:rPr>
          <w:sz w:val="24"/>
        </w:rPr>
        <w:t xml:space="preserve">all investigative interviews or other meetings or proceedings, with sufficient time for </w:t>
      </w:r>
      <w:r>
        <w:rPr>
          <w:spacing w:val="-4"/>
          <w:sz w:val="24"/>
        </w:rPr>
        <w:t xml:space="preserve">the </w:t>
      </w:r>
      <w:r>
        <w:rPr>
          <w:sz w:val="24"/>
        </w:rPr>
        <w:t>party to prepare to participate. The party may be accompanied by an advisor. The notice is to include information if the interview or other meetings will be conducted in a virtual manner using ZOOM, Microsoft Team, Skype, or similar digital platforms. The Title IX Coordinator will create an audio or audiovisual recording, or transcript, of any live interview or meeting and make it available to the parties for inspection and review.</w:t>
      </w:r>
    </w:p>
    <w:p w:rsidR="00427BA4" w:rsidRDefault="00427BA4">
      <w:pPr>
        <w:pStyle w:val="BodyText"/>
        <w:spacing w:before="4"/>
      </w:pPr>
    </w:p>
    <w:p w:rsidR="00427BA4" w:rsidRDefault="00BE6E72">
      <w:pPr>
        <w:pStyle w:val="ListParagraph"/>
        <w:numPr>
          <w:ilvl w:val="0"/>
          <w:numId w:val="6"/>
        </w:numPr>
        <w:tabs>
          <w:tab w:val="left" w:pos="820"/>
        </w:tabs>
        <w:jc w:val="both"/>
        <w:rPr>
          <w:sz w:val="24"/>
        </w:rPr>
      </w:pPr>
      <w:r>
        <w:rPr>
          <w:sz w:val="24"/>
        </w:rPr>
        <w:t xml:space="preserve">Provide both parties an equal opportunity to inspect and review any evidence obtained as part of the investigation that is directly related to the allegations raised in a </w:t>
      </w:r>
      <w:r>
        <w:rPr>
          <w:spacing w:val="-4"/>
          <w:sz w:val="24"/>
        </w:rPr>
        <w:t xml:space="preserve">formal </w:t>
      </w:r>
      <w:r>
        <w:rPr>
          <w:sz w:val="24"/>
        </w:rPr>
        <w:t>complaint. This includes the evidence upon which the Title IX Coordinator or Investigator does not intend to rely on to reach a determination regarding responsibility and inculpatory or exculpatory evidence whether obtained from a party or other source. The purpose is so each party can meaningfully respond to the evidence prior to conclusion of the investigation.</w:t>
      </w:r>
    </w:p>
    <w:p w:rsidR="00427BA4" w:rsidRDefault="00427BA4">
      <w:pPr>
        <w:pStyle w:val="BodyText"/>
        <w:spacing w:before="4"/>
      </w:pPr>
    </w:p>
    <w:p w:rsidR="00427BA4" w:rsidRDefault="00BE6E72">
      <w:pPr>
        <w:pStyle w:val="ListParagraph"/>
        <w:numPr>
          <w:ilvl w:val="0"/>
          <w:numId w:val="6"/>
        </w:numPr>
        <w:tabs>
          <w:tab w:val="left" w:pos="820"/>
        </w:tabs>
        <w:jc w:val="both"/>
        <w:rPr>
          <w:sz w:val="24"/>
        </w:rPr>
      </w:pPr>
      <w:r>
        <w:rPr>
          <w:sz w:val="24"/>
        </w:rPr>
        <w:t xml:space="preserve">Prior to completion of the investigative report, the Title IX Coordinator or Investigator must send to each party and the party’s advisor, if any, the evidence subject </w:t>
      </w:r>
      <w:r>
        <w:rPr>
          <w:spacing w:val="-6"/>
          <w:sz w:val="24"/>
        </w:rPr>
        <w:t xml:space="preserve">to </w:t>
      </w:r>
      <w:r>
        <w:rPr>
          <w:sz w:val="24"/>
        </w:rPr>
        <w:t>inspection</w:t>
      </w:r>
      <w:r>
        <w:rPr>
          <w:spacing w:val="10"/>
          <w:sz w:val="24"/>
        </w:rPr>
        <w:t xml:space="preserve"> </w:t>
      </w:r>
      <w:r>
        <w:rPr>
          <w:sz w:val="24"/>
        </w:rPr>
        <w:t>and</w:t>
      </w:r>
      <w:r>
        <w:rPr>
          <w:spacing w:val="10"/>
          <w:sz w:val="24"/>
        </w:rPr>
        <w:t xml:space="preserve"> </w:t>
      </w:r>
      <w:r>
        <w:rPr>
          <w:sz w:val="24"/>
        </w:rPr>
        <w:t>review</w:t>
      </w:r>
      <w:r>
        <w:rPr>
          <w:spacing w:val="10"/>
          <w:sz w:val="24"/>
        </w:rPr>
        <w:t xml:space="preserve"> </w:t>
      </w:r>
      <w:r>
        <w:rPr>
          <w:sz w:val="24"/>
        </w:rPr>
        <w:t>in</w:t>
      </w:r>
      <w:r>
        <w:rPr>
          <w:spacing w:val="10"/>
          <w:sz w:val="24"/>
        </w:rPr>
        <w:t xml:space="preserve"> </w:t>
      </w:r>
      <w:r>
        <w:rPr>
          <w:sz w:val="24"/>
        </w:rPr>
        <w:t>an</w:t>
      </w:r>
      <w:r>
        <w:rPr>
          <w:spacing w:val="10"/>
          <w:sz w:val="24"/>
        </w:rPr>
        <w:t xml:space="preserve"> </w:t>
      </w:r>
      <w:r>
        <w:rPr>
          <w:sz w:val="24"/>
        </w:rPr>
        <w:t>electronic</w:t>
      </w:r>
      <w:r>
        <w:rPr>
          <w:spacing w:val="10"/>
          <w:sz w:val="24"/>
        </w:rPr>
        <w:t xml:space="preserve"> </w:t>
      </w:r>
      <w:r>
        <w:rPr>
          <w:sz w:val="24"/>
        </w:rPr>
        <w:t>format</w:t>
      </w:r>
      <w:r>
        <w:rPr>
          <w:spacing w:val="10"/>
          <w:sz w:val="24"/>
        </w:rPr>
        <w:t xml:space="preserve"> </w:t>
      </w:r>
      <w:r>
        <w:rPr>
          <w:sz w:val="24"/>
        </w:rPr>
        <w:t>or</w:t>
      </w:r>
      <w:r>
        <w:rPr>
          <w:spacing w:val="10"/>
          <w:sz w:val="24"/>
        </w:rPr>
        <w:t xml:space="preserve"> </w:t>
      </w:r>
      <w:r>
        <w:rPr>
          <w:sz w:val="24"/>
        </w:rPr>
        <w:t>a</w:t>
      </w:r>
      <w:r>
        <w:rPr>
          <w:spacing w:val="10"/>
          <w:sz w:val="24"/>
        </w:rPr>
        <w:t xml:space="preserve"> </w:t>
      </w:r>
      <w:r>
        <w:rPr>
          <w:sz w:val="24"/>
        </w:rPr>
        <w:t>hard</w:t>
      </w:r>
      <w:r>
        <w:rPr>
          <w:spacing w:val="10"/>
          <w:sz w:val="24"/>
        </w:rPr>
        <w:t xml:space="preserve"> </w:t>
      </w:r>
      <w:r>
        <w:rPr>
          <w:sz w:val="24"/>
        </w:rPr>
        <w:t>copy,</w:t>
      </w:r>
      <w:r>
        <w:rPr>
          <w:spacing w:val="10"/>
          <w:sz w:val="24"/>
        </w:rPr>
        <w:t xml:space="preserve"> </w:t>
      </w:r>
      <w:r>
        <w:rPr>
          <w:sz w:val="24"/>
        </w:rPr>
        <w:t>and</w:t>
      </w:r>
      <w:r>
        <w:rPr>
          <w:spacing w:val="10"/>
          <w:sz w:val="24"/>
        </w:rPr>
        <w:t xml:space="preserve"> </w:t>
      </w:r>
      <w:r>
        <w:rPr>
          <w:sz w:val="24"/>
        </w:rPr>
        <w:t>the</w:t>
      </w:r>
      <w:r>
        <w:rPr>
          <w:spacing w:val="10"/>
          <w:sz w:val="24"/>
        </w:rPr>
        <w:t xml:space="preserve"> </w:t>
      </w:r>
      <w:r>
        <w:rPr>
          <w:sz w:val="24"/>
        </w:rPr>
        <w:t>parties</w:t>
      </w:r>
      <w:r>
        <w:rPr>
          <w:spacing w:val="10"/>
          <w:sz w:val="24"/>
        </w:rPr>
        <w:t xml:space="preserve"> </w:t>
      </w:r>
      <w:r>
        <w:rPr>
          <w:sz w:val="24"/>
        </w:rPr>
        <w:t>have</w:t>
      </w:r>
      <w:r>
        <w:rPr>
          <w:spacing w:val="10"/>
          <w:sz w:val="24"/>
        </w:rPr>
        <w:t xml:space="preserve"> </w:t>
      </w:r>
      <w:r>
        <w:rPr>
          <w:sz w:val="24"/>
        </w:rPr>
        <w:t>ten</w:t>
      </w:r>
    </w:p>
    <w:p w:rsidR="00427BA4" w:rsidRDefault="00BE6E72">
      <w:pPr>
        <w:pStyle w:val="BodyText"/>
        <w:ind w:left="820" w:right="269"/>
        <w:jc w:val="both"/>
      </w:pPr>
      <w:r>
        <w:t>(10) calendar days to submit a written response, which the Title IX Coordinator or Investigator will consider prior to completion of the investigative report. The Title IX Coordinator must make all such evidence subject to the parties’ inspection and review, to give each party equal opportunity to review.</w:t>
      </w:r>
    </w:p>
    <w:p w:rsidR="00427BA4" w:rsidRDefault="00427BA4">
      <w:pPr>
        <w:pStyle w:val="BodyText"/>
        <w:spacing w:before="4"/>
      </w:pPr>
    </w:p>
    <w:p w:rsidR="00427BA4" w:rsidRDefault="00BE6E72">
      <w:pPr>
        <w:pStyle w:val="ListParagraph"/>
        <w:numPr>
          <w:ilvl w:val="0"/>
          <w:numId w:val="6"/>
        </w:numPr>
        <w:tabs>
          <w:tab w:val="left" w:pos="820"/>
        </w:tabs>
        <w:jc w:val="both"/>
        <w:rPr>
          <w:sz w:val="24"/>
        </w:rPr>
      </w:pPr>
      <w:r>
        <w:rPr>
          <w:sz w:val="24"/>
        </w:rPr>
        <w:t xml:space="preserve">After the 10-day response period and considering responses and any additional evidence as may have been submitted by the parties, create an investigative report resulting from an objective evaluation of all relevant evidence, including </w:t>
      </w:r>
      <w:r>
        <w:rPr>
          <w:spacing w:val="-3"/>
          <w:sz w:val="24"/>
        </w:rPr>
        <w:t xml:space="preserve">both </w:t>
      </w:r>
      <w:r>
        <w:rPr>
          <w:sz w:val="24"/>
        </w:rPr>
        <w:t xml:space="preserve">inculpatory and exculpatory evidence with credibility determinations without regard to </w:t>
      </w:r>
      <w:r>
        <w:rPr>
          <w:spacing w:val="-14"/>
          <w:sz w:val="24"/>
        </w:rPr>
        <w:t xml:space="preserve">a </w:t>
      </w:r>
      <w:r>
        <w:rPr>
          <w:sz w:val="24"/>
        </w:rPr>
        <w:t xml:space="preserve">person’s status as a complainant, respondent, or witness. The report is to fairly summarize relevant evidence and to be sent to each party and the party’s advisor, </w:t>
      </w:r>
      <w:r>
        <w:rPr>
          <w:spacing w:val="-8"/>
          <w:sz w:val="24"/>
        </w:rPr>
        <w:t xml:space="preserve">if </w:t>
      </w:r>
      <w:r>
        <w:rPr>
          <w:sz w:val="24"/>
        </w:rPr>
        <w:t>any, in an electronic format or a hard copy.</w:t>
      </w:r>
    </w:p>
    <w:p w:rsidR="00427BA4" w:rsidRDefault="00427BA4">
      <w:pPr>
        <w:pStyle w:val="BodyText"/>
        <w:spacing w:before="11"/>
        <w:rPr>
          <w:sz w:val="15"/>
        </w:rPr>
      </w:pPr>
    </w:p>
    <w:p w:rsidR="00427BA4" w:rsidRDefault="00BE6E72">
      <w:pPr>
        <w:pStyle w:val="BodyText"/>
        <w:spacing w:before="92"/>
        <w:ind w:left="100"/>
      </w:pPr>
      <w:r>
        <w:rPr>
          <w:spacing w:val="-174"/>
          <w:u w:val="single"/>
        </w:rPr>
        <w:t>D</w:t>
      </w:r>
      <w:r>
        <w:rPr>
          <w:spacing w:val="106"/>
        </w:rPr>
        <w:t xml:space="preserve"> </w:t>
      </w:r>
      <w:r>
        <w:rPr>
          <w:u w:val="single"/>
        </w:rPr>
        <w:t>ETERMINATION REGARDING RESPONSIBILITY</w:t>
      </w:r>
    </w:p>
    <w:p w:rsidR="00427BA4" w:rsidRDefault="00427BA4">
      <w:pPr>
        <w:pStyle w:val="BodyText"/>
        <w:spacing w:before="4"/>
        <w:rPr>
          <w:sz w:val="16"/>
        </w:rPr>
      </w:pPr>
    </w:p>
    <w:p w:rsidR="00427BA4" w:rsidRDefault="00BE6E72">
      <w:pPr>
        <w:pStyle w:val="BodyText"/>
        <w:spacing w:before="92"/>
        <w:ind w:left="100" w:right="269"/>
        <w:jc w:val="both"/>
      </w:pPr>
      <w:r>
        <w:t>After the Title IX Coordinator sends the investigative report to the parties and before the Decision-Maker reaches a determination regarding responsibility, the Decision-Maker(s) must afford each party seven (7) calendar days for the opportunity to submit written, relevant questions that a party wants asked of any party or witness, provide each party with the answers, and allow for additional, limited follow-up questions from each party.</w:t>
      </w:r>
    </w:p>
    <w:p w:rsidR="00427BA4" w:rsidRDefault="00427BA4">
      <w:pPr>
        <w:pStyle w:val="BodyText"/>
        <w:spacing w:before="4"/>
      </w:pPr>
    </w:p>
    <w:p w:rsidR="00427BA4" w:rsidRDefault="00BE6E72">
      <w:pPr>
        <w:pStyle w:val="BodyText"/>
        <w:ind w:left="100" w:right="269"/>
        <w:jc w:val="both"/>
      </w:pPr>
      <w:r>
        <w:t>The Decision-Maker(s), who cannot be the same person(s) as the Title IX Coordinator or the Investigator(s), must issue a written determination regarding responsibility within ten (15) working days of completion of the question and answer period to both parties,</w:t>
      </w:r>
    </w:p>
    <w:p w:rsidR="00427BA4" w:rsidRDefault="00427BA4">
      <w:pPr>
        <w:jc w:val="both"/>
        <w:sectPr w:rsidR="00427BA4">
          <w:pgSz w:w="12240" w:h="15840"/>
          <w:pgMar w:top="1360" w:right="960" w:bottom="1200" w:left="980" w:header="0" w:footer="1016" w:gutter="0"/>
          <w:cols w:space="720"/>
        </w:sectPr>
      </w:pPr>
    </w:p>
    <w:p w:rsidR="00427BA4" w:rsidRDefault="00BE6E72">
      <w:pPr>
        <w:pStyle w:val="BodyText"/>
        <w:spacing w:before="80"/>
        <w:ind w:left="100" w:right="268"/>
        <w:jc w:val="both"/>
      </w:pPr>
      <w:r>
        <w:lastRenderedPageBreak/>
        <w:t>simultaneously. To reach this determination, the Decision-Maker must apply the standard of evidence described in the Definitions section of this procedure. The written determination must include—</w:t>
      </w:r>
    </w:p>
    <w:p w:rsidR="00427BA4" w:rsidRDefault="00427BA4">
      <w:pPr>
        <w:pStyle w:val="BodyText"/>
        <w:spacing w:before="4"/>
      </w:pPr>
    </w:p>
    <w:p w:rsidR="00427BA4" w:rsidRDefault="00BE6E72">
      <w:pPr>
        <w:pStyle w:val="ListParagraph"/>
        <w:numPr>
          <w:ilvl w:val="0"/>
          <w:numId w:val="5"/>
        </w:numPr>
        <w:tabs>
          <w:tab w:val="left" w:pos="820"/>
        </w:tabs>
        <w:jc w:val="both"/>
        <w:rPr>
          <w:sz w:val="24"/>
        </w:rPr>
      </w:pPr>
      <w:r>
        <w:rPr>
          <w:sz w:val="24"/>
        </w:rPr>
        <w:t xml:space="preserve">Identification of the allegations potentially constituting sexual harassment </w:t>
      </w:r>
      <w:r>
        <w:rPr>
          <w:spacing w:val="-3"/>
          <w:sz w:val="24"/>
        </w:rPr>
        <w:t xml:space="preserve">(“sexual </w:t>
      </w:r>
      <w:r>
        <w:rPr>
          <w:sz w:val="24"/>
        </w:rPr>
        <w:t>harassment” as defined in the Definitions section of this procedures);</w:t>
      </w:r>
    </w:p>
    <w:p w:rsidR="00427BA4" w:rsidRDefault="00427BA4">
      <w:pPr>
        <w:pStyle w:val="BodyText"/>
        <w:spacing w:before="4"/>
      </w:pPr>
    </w:p>
    <w:p w:rsidR="00427BA4" w:rsidRDefault="00BE6E72">
      <w:pPr>
        <w:pStyle w:val="ListParagraph"/>
        <w:numPr>
          <w:ilvl w:val="0"/>
          <w:numId w:val="5"/>
        </w:numPr>
        <w:tabs>
          <w:tab w:val="left" w:pos="820"/>
        </w:tabs>
        <w:jc w:val="both"/>
        <w:rPr>
          <w:sz w:val="24"/>
        </w:rPr>
      </w:pPr>
      <w:r>
        <w:rPr>
          <w:sz w:val="24"/>
        </w:rPr>
        <w:t xml:space="preserve">A description of the procedural steps taken from the receipt of the formal complaint through the determination, including any notifications to the parties, interviews </w:t>
      </w:r>
      <w:r>
        <w:rPr>
          <w:spacing w:val="-5"/>
          <w:sz w:val="24"/>
        </w:rPr>
        <w:t xml:space="preserve">with </w:t>
      </w:r>
      <w:r>
        <w:rPr>
          <w:sz w:val="24"/>
        </w:rPr>
        <w:t xml:space="preserve">parties and witnesses, site visits, methods used to gather other evidence, </w:t>
      </w:r>
      <w:r>
        <w:rPr>
          <w:spacing w:val="-7"/>
          <w:sz w:val="24"/>
        </w:rPr>
        <w:t xml:space="preserve">and </w:t>
      </w:r>
      <w:r>
        <w:rPr>
          <w:sz w:val="24"/>
        </w:rPr>
        <w:t>interviews or other proceedings held;</w:t>
      </w:r>
    </w:p>
    <w:p w:rsidR="00427BA4" w:rsidRDefault="00427BA4">
      <w:pPr>
        <w:pStyle w:val="BodyText"/>
        <w:spacing w:before="4"/>
      </w:pPr>
    </w:p>
    <w:p w:rsidR="00427BA4" w:rsidRDefault="00BE6E72">
      <w:pPr>
        <w:pStyle w:val="ListParagraph"/>
        <w:numPr>
          <w:ilvl w:val="0"/>
          <w:numId w:val="5"/>
        </w:numPr>
        <w:tabs>
          <w:tab w:val="left" w:pos="819"/>
          <w:tab w:val="left" w:pos="820"/>
        </w:tabs>
        <w:ind w:right="0"/>
        <w:rPr>
          <w:sz w:val="24"/>
        </w:rPr>
      </w:pPr>
      <w:r>
        <w:rPr>
          <w:sz w:val="24"/>
        </w:rPr>
        <w:t>Findings of fact supporting the determination;</w:t>
      </w:r>
    </w:p>
    <w:p w:rsidR="00427BA4" w:rsidRDefault="00427BA4">
      <w:pPr>
        <w:pStyle w:val="BodyText"/>
        <w:spacing w:before="4"/>
      </w:pPr>
    </w:p>
    <w:p w:rsidR="00427BA4" w:rsidRDefault="00BE6E72">
      <w:pPr>
        <w:pStyle w:val="ListParagraph"/>
        <w:numPr>
          <w:ilvl w:val="0"/>
          <w:numId w:val="5"/>
        </w:numPr>
        <w:tabs>
          <w:tab w:val="left" w:pos="820"/>
        </w:tabs>
        <w:ind w:right="268"/>
        <w:jc w:val="both"/>
        <w:rPr>
          <w:sz w:val="24"/>
        </w:rPr>
      </w:pPr>
      <w:r>
        <w:rPr>
          <w:sz w:val="24"/>
        </w:rPr>
        <w:t xml:space="preserve">Conclusions regarding the application of the </w:t>
      </w:r>
      <w:r w:rsidR="00A319B5">
        <w:rPr>
          <w:sz w:val="24"/>
        </w:rPr>
        <w:t>Morehouse Parish School Board</w:t>
      </w:r>
      <w:r>
        <w:rPr>
          <w:sz w:val="24"/>
        </w:rPr>
        <w:t>’s code of conduct to the facts;</w:t>
      </w:r>
    </w:p>
    <w:p w:rsidR="00427BA4" w:rsidRDefault="00427BA4">
      <w:pPr>
        <w:pStyle w:val="BodyText"/>
        <w:spacing w:before="4"/>
      </w:pPr>
    </w:p>
    <w:p w:rsidR="00427BA4" w:rsidRDefault="00BE6E72">
      <w:pPr>
        <w:pStyle w:val="ListParagraph"/>
        <w:numPr>
          <w:ilvl w:val="0"/>
          <w:numId w:val="5"/>
        </w:numPr>
        <w:tabs>
          <w:tab w:val="left" w:pos="820"/>
        </w:tabs>
        <w:jc w:val="both"/>
        <w:rPr>
          <w:sz w:val="24"/>
        </w:rPr>
      </w:pPr>
      <w:r>
        <w:rPr>
          <w:sz w:val="24"/>
        </w:rPr>
        <w:t xml:space="preserve">A statement of, and rationale for, the result as to each allegation, including a determination regarding responsibility, any disciplinary sanctions to be imposed on </w:t>
      </w:r>
      <w:r>
        <w:rPr>
          <w:spacing w:val="-11"/>
          <w:sz w:val="24"/>
        </w:rPr>
        <w:t xml:space="preserve">a </w:t>
      </w:r>
      <w:r>
        <w:rPr>
          <w:sz w:val="24"/>
        </w:rPr>
        <w:t xml:space="preserve">respondent, and whether the remedies are designed to restore or preserve </w:t>
      </w:r>
      <w:r>
        <w:rPr>
          <w:spacing w:val="-3"/>
          <w:sz w:val="24"/>
        </w:rPr>
        <w:t xml:space="preserve">equal </w:t>
      </w:r>
      <w:r>
        <w:rPr>
          <w:sz w:val="24"/>
        </w:rPr>
        <w:t xml:space="preserve">access to the </w:t>
      </w:r>
      <w:r w:rsidR="00A319B5">
        <w:rPr>
          <w:sz w:val="24"/>
        </w:rPr>
        <w:t>Morehouse Parish School Board</w:t>
      </w:r>
      <w:r>
        <w:rPr>
          <w:sz w:val="24"/>
        </w:rPr>
        <w:t xml:space="preserve">’s education program or activity will </w:t>
      </w:r>
      <w:r>
        <w:rPr>
          <w:spacing w:val="-7"/>
          <w:sz w:val="24"/>
        </w:rPr>
        <w:t xml:space="preserve">be </w:t>
      </w:r>
      <w:r>
        <w:rPr>
          <w:sz w:val="24"/>
        </w:rPr>
        <w:t>provided by the Decision-Maker to the complainant; and</w:t>
      </w:r>
    </w:p>
    <w:p w:rsidR="00427BA4" w:rsidRDefault="00427BA4">
      <w:pPr>
        <w:pStyle w:val="BodyText"/>
        <w:spacing w:before="4"/>
      </w:pPr>
    </w:p>
    <w:p w:rsidR="00427BA4" w:rsidRDefault="00BE6E72">
      <w:pPr>
        <w:pStyle w:val="ListParagraph"/>
        <w:numPr>
          <w:ilvl w:val="0"/>
          <w:numId w:val="5"/>
        </w:numPr>
        <w:tabs>
          <w:tab w:val="left" w:pos="820"/>
        </w:tabs>
        <w:ind w:right="268"/>
        <w:jc w:val="both"/>
        <w:rPr>
          <w:sz w:val="24"/>
        </w:rPr>
      </w:pPr>
      <w:r>
        <w:rPr>
          <w:sz w:val="24"/>
        </w:rPr>
        <w:t xml:space="preserve">The </w:t>
      </w:r>
      <w:r w:rsidR="00A319B5">
        <w:rPr>
          <w:sz w:val="24"/>
        </w:rPr>
        <w:t>Morehouse Parish School Board</w:t>
      </w:r>
      <w:r>
        <w:rPr>
          <w:sz w:val="24"/>
        </w:rPr>
        <w:t xml:space="preserve"> procedures and permissible bases for the complainant or respondent to appeal.</w:t>
      </w:r>
    </w:p>
    <w:p w:rsidR="00427BA4" w:rsidRDefault="00427BA4">
      <w:pPr>
        <w:pStyle w:val="BodyText"/>
        <w:spacing w:before="4"/>
      </w:pPr>
    </w:p>
    <w:p w:rsidR="00427BA4" w:rsidRDefault="00BE6E72">
      <w:pPr>
        <w:pStyle w:val="ListParagraph"/>
        <w:numPr>
          <w:ilvl w:val="0"/>
          <w:numId w:val="5"/>
        </w:numPr>
        <w:tabs>
          <w:tab w:val="left" w:pos="820"/>
        </w:tabs>
        <w:ind w:right="268"/>
        <w:jc w:val="both"/>
        <w:rPr>
          <w:sz w:val="24"/>
        </w:rPr>
      </w:pPr>
      <w:r>
        <w:rPr>
          <w:sz w:val="24"/>
        </w:rPr>
        <w:t xml:space="preserve">The Decision-Maker must provide the written determination to the </w:t>
      </w:r>
      <w:r>
        <w:rPr>
          <w:spacing w:val="-3"/>
          <w:sz w:val="24"/>
        </w:rPr>
        <w:t xml:space="preserve">parties </w:t>
      </w:r>
      <w:r>
        <w:rPr>
          <w:sz w:val="24"/>
        </w:rPr>
        <w:t>simultaneously.</w:t>
      </w:r>
    </w:p>
    <w:p w:rsidR="00427BA4" w:rsidRDefault="00427BA4">
      <w:pPr>
        <w:pStyle w:val="BodyText"/>
        <w:spacing w:before="4"/>
      </w:pPr>
    </w:p>
    <w:p w:rsidR="00427BA4" w:rsidRDefault="00BE6E72">
      <w:pPr>
        <w:pStyle w:val="ListParagraph"/>
        <w:numPr>
          <w:ilvl w:val="0"/>
          <w:numId w:val="5"/>
        </w:numPr>
        <w:tabs>
          <w:tab w:val="left" w:pos="820"/>
        </w:tabs>
        <w:ind w:right="268"/>
        <w:jc w:val="both"/>
        <w:rPr>
          <w:sz w:val="24"/>
        </w:rPr>
      </w:pPr>
      <w:r>
        <w:rPr>
          <w:sz w:val="24"/>
        </w:rPr>
        <w:t>The determination regarding responsibility becomes final either on the date that the Decision-Maker provides the parties with the written determination of the result of an appeal, if an appeal is filed, or, if an appeal is not filed, on the date on which an appeal would no longer be considered timely.</w:t>
      </w:r>
    </w:p>
    <w:p w:rsidR="00427BA4" w:rsidRDefault="00427BA4">
      <w:pPr>
        <w:pStyle w:val="BodyText"/>
        <w:spacing w:before="4"/>
      </w:pPr>
    </w:p>
    <w:p w:rsidR="00427BA4" w:rsidRDefault="00BE6E72">
      <w:pPr>
        <w:pStyle w:val="ListParagraph"/>
        <w:numPr>
          <w:ilvl w:val="0"/>
          <w:numId w:val="5"/>
        </w:numPr>
        <w:tabs>
          <w:tab w:val="left" w:pos="819"/>
          <w:tab w:val="left" w:pos="820"/>
        </w:tabs>
        <w:ind w:right="0"/>
        <w:rPr>
          <w:sz w:val="24"/>
        </w:rPr>
      </w:pPr>
      <w:r>
        <w:rPr>
          <w:sz w:val="24"/>
        </w:rPr>
        <w:t>The Title IX Coordinator is responsible for effective implementation of any remedies.</w:t>
      </w:r>
    </w:p>
    <w:p w:rsidR="00427BA4" w:rsidRDefault="00427BA4">
      <w:pPr>
        <w:pStyle w:val="BodyText"/>
        <w:spacing w:before="4"/>
        <w:rPr>
          <w:sz w:val="16"/>
        </w:rPr>
      </w:pPr>
    </w:p>
    <w:p w:rsidR="00427BA4" w:rsidRDefault="00BE6E72">
      <w:pPr>
        <w:pStyle w:val="BodyText"/>
        <w:spacing w:before="92"/>
        <w:ind w:left="100"/>
      </w:pPr>
      <w:r>
        <w:rPr>
          <w:spacing w:val="-161"/>
          <w:u w:val="single"/>
        </w:rPr>
        <w:t>A</w:t>
      </w:r>
      <w:r>
        <w:rPr>
          <w:spacing w:val="93"/>
        </w:rPr>
        <w:t xml:space="preserve"> </w:t>
      </w:r>
      <w:r>
        <w:rPr>
          <w:u w:val="single"/>
        </w:rPr>
        <w:t>PPEALS</w:t>
      </w:r>
    </w:p>
    <w:p w:rsidR="00427BA4" w:rsidRDefault="00427BA4">
      <w:pPr>
        <w:pStyle w:val="BodyText"/>
        <w:spacing w:before="4"/>
        <w:rPr>
          <w:sz w:val="16"/>
        </w:rPr>
      </w:pPr>
    </w:p>
    <w:p w:rsidR="00427BA4" w:rsidRDefault="00BE6E72">
      <w:pPr>
        <w:pStyle w:val="ListParagraph"/>
        <w:numPr>
          <w:ilvl w:val="0"/>
          <w:numId w:val="4"/>
        </w:numPr>
        <w:tabs>
          <w:tab w:val="left" w:pos="820"/>
        </w:tabs>
        <w:spacing w:before="92"/>
        <w:jc w:val="both"/>
        <w:rPr>
          <w:sz w:val="24"/>
        </w:rPr>
      </w:pPr>
      <w:r>
        <w:rPr>
          <w:sz w:val="24"/>
        </w:rPr>
        <w:t>Both parties or either party may appeal within seven (7) calendar days from a determination regarding responsibility, or from the Title IX Coordinator or the Decision- Maker’s dismissal of a formal complaint or any allegations therein, on the following bases:</w:t>
      </w:r>
    </w:p>
    <w:p w:rsidR="00427BA4" w:rsidRDefault="00427BA4">
      <w:pPr>
        <w:pStyle w:val="BodyText"/>
        <w:spacing w:before="4"/>
      </w:pPr>
    </w:p>
    <w:p w:rsidR="00427BA4" w:rsidRDefault="00BE6E72">
      <w:pPr>
        <w:pStyle w:val="ListParagraph"/>
        <w:numPr>
          <w:ilvl w:val="1"/>
          <w:numId w:val="4"/>
        </w:numPr>
        <w:tabs>
          <w:tab w:val="left" w:pos="1539"/>
          <w:tab w:val="left" w:pos="1540"/>
        </w:tabs>
        <w:ind w:right="0"/>
        <w:rPr>
          <w:sz w:val="24"/>
        </w:rPr>
      </w:pPr>
      <w:r>
        <w:rPr>
          <w:sz w:val="24"/>
        </w:rPr>
        <w:t>Procedural irregularity that affected the outcome of the matter;</w:t>
      </w:r>
    </w:p>
    <w:p w:rsidR="00427BA4" w:rsidRDefault="00427BA4">
      <w:pPr>
        <w:rPr>
          <w:sz w:val="24"/>
        </w:rPr>
        <w:sectPr w:rsidR="00427BA4">
          <w:pgSz w:w="12240" w:h="15840"/>
          <w:pgMar w:top="1360" w:right="960" w:bottom="1200" w:left="980" w:header="0" w:footer="1016" w:gutter="0"/>
          <w:cols w:space="720"/>
        </w:sectPr>
      </w:pPr>
    </w:p>
    <w:p w:rsidR="00427BA4" w:rsidRDefault="00BE6E72">
      <w:pPr>
        <w:pStyle w:val="ListParagraph"/>
        <w:numPr>
          <w:ilvl w:val="1"/>
          <w:numId w:val="4"/>
        </w:numPr>
        <w:tabs>
          <w:tab w:val="left" w:pos="1540"/>
        </w:tabs>
        <w:spacing w:before="80"/>
        <w:jc w:val="both"/>
        <w:rPr>
          <w:sz w:val="24"/>
        </w:rPr>
      </w:pPr>
      <w:r>
        <w:rPr>
          <w:sz w:val="24"/>
        </w:rPr>
        <w:lastRenderedPageBreak/>
        <w:t xml:space="preserve">New evidence that was not reasonably available at the time the </w:t>
      </w:r>
      <w:r>
        <w:rPr>
          <w:spacing w:val="-2"/>
          <w:sz w:val="24"/>
        </w:rPr>
        <w:t xml:space="preserve">determination </w:t>
      </w:r>
      <w:r>
        <w:rPr>
          <w:sz w:val="24"/>
        </w:rPr>
        <w:t xml:space="preserve">regarding responsibility or dismissal was made, that could affect the outcome </w:t>
      </w:r>
      <w:r>
        <w:rPr>
          <w:spacing w:val="-9"/>
          <w:sz w:val="24"/>
        </w:rPr>
        <w:t xml:space="preserve">of </w:t>
      </w:r>
      <w:r>
        <w:rPr>
          <w:sz w:val="24"/>
        </w:rPr>
        <w:t>the matter; or</w:t>
      </w:r>
    </w:p>
    <w:p w:rsidR="00427BA4" w:rsidRDefault="00427BA4">
      <w:pPr>
        <w:pStyle w:val="BodyText"/>
        <w:spacing w:before="4"/>
      </w:pPr>
    </w:p>
    <w:p w:rsidR="00427BA4" w:rsidRDefault="00BE6E72">
      <w:pPr>
        <w:pStyle w:val="ListParagraph"/>
        <w:numPr>
          <w:ilvl w:val="1"/>
          <w:numId w:val="4"/>
        </w:numPr>
        <w:tabs>
          <w:tab w:val="left" w:pos="1540"/>
        </w:tabs>
        <w:jc w:val="both"/>
        <w:rPr>
          <w:sz w:val="24"/>
        </w:rPr>
      </w:pPr>
      <w:r>
        <w:rPr>
          <w:sz w:val="24"/>
        </w:rPr>
        <w:t xml:space="preserve">The Title IX Coordinator, Investigator(s), or Decision-Maker(s) had a conflict </w:t>
      </w:r>
      <w:r>
        <w:rPr>
          <w:spacing w:val="-10"/>
          <w:sz w:val="24"/>
        </w:rPr>
        <w:t xml:space="preserve">of </w:t>
      </w:r>
      <w:r>
        <w:rPr>
          <w:sz w:val="24"/>
        </w:rPr>
        <w:t>interest or bias for or against complainants or respondents generally or the individual complainant or respondent that affected the outcome of the matter.</w:t>
      </w:r>
    </w:p>
    <w:p w:rsidR="00427BA4" w:rsidRDefault="00427BA4">
      <w:pPr>
        <w:pStyle w:val="BodyText"/>
        <w:spacing w:before="4"/>
      </w:pPr>
    </w:p>
    <w:p w:rsidR="00427BA4" w:rsidRDefault="00BE6E72">
      <w:pPr>
        <w:pStyle w:val="ListParagraph"/>
        <w:numPr>
          <w:ilvl w:val="0"/>
          <w:numId w:val="4"/>
        </w:numPr>
        <w:tabs>
          <w:tab w:val="left" w:pos="719"/>
          <w:tab w:val="left" w:pos="720"/>
        </w:tabs>
        <w:ind w:right="2580" w:hanging="820"/>
        <w:jc w:val="right"/>
        <w:rPr>
          <w:sz w:val="24"/>
        </w:rPr>
      </w:pPr>
      <w:r>
        <w:rPr>
          <w:sz w:val="24"/>
        </w:rPr>
        <w:t>For all appeals, the Superintendent of Schools or designee must:</w:t>
      </w:r>
    </w:p>
    <w:p w:rsidR="00427BA4" w:rsidRDefault="00427BA4">
      <w:pPr>
        <w:pStyle w:val="BodyText"/>
        <w:spacing w:before="4"/>
      </w:pPr>
    </w:p>
    <w:p w:rsidR="00427BA4" w:rsidRDefault="00BE6E72">
      <w:pPr>
        <w:pStyle w:val="ListParagraph"/>
        <w:numPr>
          <w:ilvl w:val="1"/>
          <w:numId w:val="4"/>
        </w:numPr>
        <w:tabs>
          <w:tab w:val="left" w:pos="1540"/>
        </w:tabs>
        <w:jc w:val="both"/>
        <w:rPr>
          <w:sz w:val="24"/>
        </w:rPr>
      </w:pPr>
      <w:r>
        <w:rPr>
          <w:sz w:val="24"/>
        </w:rPr>
        <w:t xml:space="preserve">Notify the other party in writing when an appeal is filed and implement </w:t>
      </w:r>
      <w:r>
        <w:rPr>
          <w:spacing w:val="-4"/>
          <w:sz w:val="24"/>
        </w:rPr>
        <w:t>appeal</w:t>
      </w:r>
      <w:r>
        <w:rPr>
          <w:spacing w:val="58"/>
          <w:sz w:val="24"/>
        </w:rPr>
        <w:t xml:space="preserve"> </w:t>
      </w:r>
      <w:r>
        <w:rPr>
          <w:sz w:val="24"/>
        </w:rPr>
        <w:t>procedures equally for both parties;</w:t>
      </w:r>
    </w:p>
    <w:p w:rsidR="00427BA4" w:rsidRDefault="00427BA4">
      <w:pPr>
        <w:pStyle w:val="BodyText"/>
        <w:spacing w:before="4"/>
      </w:pPr>
    </w:p>
    <w:p w:rsidR="00427BA4" w:rsidRDefault="00BE6E72">
      <w:pPr>
        <w:pStyle w:val="ListParagraph"/>
        <w:numPr>
          <w:ilvl w:val="1"/>
          <w:numId w:val="4"/>
        </w:numPr>
        <w:tabs>
          <w:tab w:val="left" w:pos="1540"/>
        </w:tabs>
        <w:jc w:val="both"/>
        <w:rPr>
          <w:sz w:val="24"/>
        </w:rPr>
      </w:pPr>
      <w:r>
        <w:rPr>
          <w:sz w:val="24"/>
        </w:rPr>
        <w:t xml:space="preserve">Ensure that any Superintendent’s designee for the appeal is not the </w:t>
      </w:r>
      <w:r>
        <w:rPr>
          <w:spacing w:val="-4"/>
          <w:sz w:val="24"/>
        </w:rPr>
        <w:t xml:space="preserve">same </w:t>
      </w:r>
      <w:r>
        <w:rPr>
          <w:sz w:val="24"/>
        </w:rPr>
        <w:t>person as the Decision-Maker(s) who reached the determination regarding responsibility or dismissal, the Investigator(s), or the Title IX Coordinator;</w:t>
      </w:r>
    </w:p>
    <w:p w:rsidR="00427BA4" w:rsidRDefault="00427BA4">
      <w:pPr>
        <w:pStyle w:val="BodyText"/>
        <w:spacing w:before="4"/>
      </w:pPr>
    </w:p>
    <w:p w:rsidR="00427BA4" w:rsidRDefault="00BE6E72">
      <w:pPr>
        <w:pStyle w:val="ListParagraph"/>
        <w:numPr>
          <w:ilvl w:val="1"/>
          <w:numId w:val="4"/>
        </w:numPr>
        <w:tabs>
          <w:tab w:val="left" w:pos="1540"/>
        </w:tabs>
        <w:ind w:right="268"/>
        <w:jc w:val="both"/>
        <w:rPr>
          <w:sz w:val="24"/>
        </w:rPr>
      </w:pPr>
      <w:r>
        <w:rPr>
          <w:sz w:val="24"/>
        </w:rPr>
        <w:t>Give both parties ten (10) calendar days and an equal opportunity to submit a written statement in support of, or challenging, the outcome;</w:t>
      </w:r>
    </w:p>
    <w:p w:rsidR="00427BA4" w:rsidRDefault="00427BA4">
      <w:pPr>
        <w:pStyle w:val="BodyText"/>
        <w:spacing w:before="4"/>
      </w:pPr>
    </w:p>
    <w:p w:rsidR="00427BA4" w:rsidRDefault="00BE6E72">
      <w:pPr>
        <w:pStyle w:val="ListParagraph"/>
        <w:numPr>
          <w:ilvl w:val="1"/>
          <w:numId w:val="4"/>
        </w:numPr>
        <w:tabs>
          <w:tab w:val="left" w:pos="1540"/>
        </w:tabs>
        <w:ind w:right="268"/>
        <w:jc w:val="both"/>
        <w:rPr>
          <w:sz w:val="24"/>
        </w:rPr>
      </w:pPr>
      <w:r>
        <w:rPr>
          <w:sz w:val="24"/>
        </w:rPr>
        <w:t>Issue a written decision describing the result of the appeal and the rationale for the result; and</w:t>
      </w:r>
    </w:p>
    <w:p w:rsidR="00427BA4" w:rsidRDefault="00427BA4">
      <w:pPr>
        <w:pStyle w:val="BodyText"/>
        <w:spacing w:before="4"/>
      </w:pPr>
    </w:p>
    <w:p w:rsidR="00427BA4" w:rsidRDefault="00BE6E72">
      <w:pPr>
        <w:pStyle w:val="ListParagraph"/>
        <w:numPr>
          <w:ilvl w:val="1"/>
          <w:numId w:val="4"/>
        </w:numPr>
        <w:tabs>
          <w:tab w:val="left" w:pos="719"/>
          <w:tab w:val="left" w:pos="720"/>
        </w:tabs>
        <w:ind w:right="2514" w:hanging="1540"/>
        <w:jc w:val="right"/>
        <w:rPr>
          <w:sz w:val="24"/>
        </w:rPr>
      </w:pPr>
      <w:r>
        <w:rPr>
          <w:sz w:val="24"/>
        </w:rPr>
        <w:t>Provide the written decision simultaneously to both parties.</w:t>
      </w:r>
    </w:p>
    <w:p w:rsidR="00427BA4" w:rsidRDefault="00427BA4">
      <w:pPr>
        <w:pStyle w:val="BodyText"/>
        <w:spacing w:before="4"/>
        <w:rPr>
          <w:sz w:val="16"/>
        </w:rPr>
      </w:pPr>
    </w:p>
    <w:p w:rsidR="00427BA4" w:rsidRDefault="00BE6E72">
      <w:pPr>
        <w:pStyle w:val="BodyText"/>
        <w:spacing w:before="92"/>
        <w:ind w:left="100"/>
      </w:pPr>
      <w:r>
        <w:rPr>
          <w:spacing w:val="-174"/>
          <w:u w:val="single"/>
        </w:rPr>
        <w:t>D</w:t>
      </w:r>
      <w:r>
        <w:rPr>
          <w:spacing w:val="106"/>
        </w:rPr>
        <w:t xml:space="preserve"> </w:t>
      </w:r>
      <w:r>
        <w:rPr>
          <w:u w:val="single"/>
        </w:rPr>
        <w:t>ISMISSAL OF A FORMAL COMPLAINT</w:t>
      </w:r>
    </w:p>
    <w:p w:rsidR="00427BA4" w:rsidRDefault="00427BA4">
      <w:pPr>
        <w:pStyle w:val="BodyText"/>
        <w:spacing w:before="4"/>
        <w:rPr>
          <w:sz w:val="16"/>
        </w:rPr>
      </w:pPr>
    </w:p>
    <w:p w:rsidR="00427BA4" w:rsidRDefault="00BE6E72">
      <w:pPr>
        <w:pStyle w:val="ListParagraph"/>
        <w:numPr>
          <w:ilvl w:val="0"/>
          <w:numId w:val="3"/>
        </w:numPr>
        <w:tabs>
          <w:tab w:val="left" w:pos="820"/>
        </w:tabs>
        <w:spacing w:before="92"/>
        <w:jc w:val="both"/>
        <w:rPr>
          <w:sz w:val="24"/>
        </w:rPr>
      </w:pPr>
      <w:r>
        <w:rPr>
          <w:sz w:val="24"/>
        </w:rPr>
        <w:t xml:space="preserve">The Title IX Coordinator must review the allegations made in a formal complaint. If </w:t>
      </w:r>
      <w:r>
        <w:rPr>
          <w:spacing w:val="-6"/>
          <w:sz w:val="24"/>
        </w:rPr>
        <w:t xml:space="preserve">the </w:t>
      </w:r>
      <w:r>
        <w:rPr>
          <w:sz w:val="24"/>
        </w:rPr>
        <w:t xml:space="preserve">conduct alleged in the formal complaint would not constitute “sexual harassment” (as defined above) even if proved; did not occur in the </w:t>
      </w:r>
      <w:r w:rsidR="00A319B5">
        <w:rPr>
          <w:sz w:val="24"/>
        </w:rPr>
        <w:t>Morehouse Parish School Board</w:t>
      </w:r>
      <w:r>
        <w:rPr>
          <w:sz w:val="24"/>
        </w:rPr>
        <w:t xml:space="preserve">’s education program or activity; or did not occur against a person in the United States, then the Title IX Coordinator must dismiss the formal complaint. Such a dismissal </w:t>
      </w:r>
      <w:r>
        <w:rPr>
          <w:spacing w:val="-4"/>
          <w:sz w:val="24"/>
        </w:rPr>
        <w:t xml:space="preserve">does </w:t>
      </w:r>
      <w:r>
        <w:rPr>
          <w:sz w:val="24"/>
        </w:rPr>
        <w:t xml:space="preserve">not preclude action under another provision of the </w:t>
      </w:r>
      <w:r w:rsidR="00A319B5">
        <w:rPr>
          <w:sz w:val="24"/>
        </w:rPr>
        <w:t>Morehouse Parish School Board</w:t>
      </w:r>
      <w:r>
        <w:rPr>
          <w:sz w:val="24"/>
        </w:rPr>
        <w:t xml:space="preserve">’s </w:t>
      </w:r>
      <w:r>
        <w:rPr>
          <w:spacing w:val="-4"/>
          <w:sz w:val="24"/>
        </w:rPr>
        <w:t xml:space="preserve">code </w:t>
      </w:r>
      <w:r>
        <w:rPr>
          <w:sz w:val="24"/>
        </w:rPr>
        <w:t>of conduct.</w:t>
      </w:r>
    </w:p>
    <w:p w:rsidR="00427BA4" w:rsidRDefault="00427BA4">
      <w:pPr>
        <w:pStyle w:val="BodyText"/>
        <w:spacing w:before="4"/>
      </w:pPr>
    </w:p>
    <w:p w:rsidR="00427BA4" w:rsidRDefault="00BE6E72">
      <w:pPr>
        <w:pStyle w:val="ListParagraph"/>
        <w:numPr>
          <w:ilvl w:val="0"/>
          <w:numId w:val="3"/>
        </w:numPr>
        <w:tabs>
          <w:tab w:val="left" w:pos="820"/>
        </w:tabs>
        <w:jc w:val="both"/>
        <w:rPr>
          <w:sz w:val="24"/>
        </w:rPr>
      </w:pPr>
      <w:r>
        <w:rPr>
          <w:sz w:val="24"/>
        </w:rPr>
        <w:t xml:space="preserve">The Title IX Coordinator may dismiss the formal complaint or any allegations therein, </w:t>
      </w:r>
      <w:r>
        <w:rPr>
          <w:spacing w:val="-6"/>
          <w:sz w:val="24"/>
        </w:rPr>
        <w:t xml:space="preserve">if </w:t>
      </w:r>
      <w:r>
        <w:rPr>
          <w:sz w:val="24"/>
        </w:rPr>
        <w:t xml:space="preserve">at any time during the investigation a complainant notifies the Title IX Coordinator </w:t>
      </w:r>
      <w:r>
        <w:rPr>
          <w:spacing w:val="-10"/>
          <w:sz w:val="24"/>
        </w:rPr>
        <w:t xml:space="preserve">in </w:t>
      </w:r>
      <w:r>
        <w:rPr>
          <w:sz w:val="24"/>
        </w:rPr>
        <w:t xml:space="preserve">writing that the complainant would like to withdraw the formal complaint or </w:t>
      </w:r>
      <w:r>
        <w:rPr>
          <w:spacing w:val="-5"/>
          <w:sz w:val="24"/>
        </w:rPr>
        <w:t xml:space="preserve">any </w:t>
      </w:r>
      <w:r>
        <w:rPr>
          <w:sz w:val="24"/>
        </w:rPr>
        <w:t xml:space="preserve">allegations therein; the respondent is no longer enrolled or employed by </w:t>
      </w:r>
      <w:r w:rsidR="00A319B5">
        <w:rPr>
          <w:sz w:val="24"/>
        </w:rPr>
        <w:t>Morehouse Parish School Board</w:t>
      </w:r>
      <w:r>
        <w:rPr>
          <w:sz w:val="24"/>
        </w:rPr>
        <w:t xml:space="preserve">; or specific circumstances prevent the Title IX Coordinator </w:t>
      </w:r>
      <w:r>
        <w:rPr>
          <w:spacing w:val="-5"/>
          <w:sz w:val="24"/>
        </w:rPr>
        <w:t xml:space="preserve">from </w:t>
      </w:r>
      <w:r>
        <w:rPr>
          <w:sz w:val="24"/>
        </w:rPr>
        <w:t xml:space="preserve">gathering evidence sufficient to reach a determination as to the formal complaint </w:t>
      </w:r>
      <w:r>
        <w:rPr>
          <w:spacing w:val="-9"/>
          <w:sz w:val="24"/>
        </w:rPr>
        <w:t xml:space="preserve">or </w:t>
      </w:r>
      <w:r>
        <w:rPr>
          <w:sz w:val="24"/>
        </w:rPr>
        <w:t>allegations therein.</w:t>
      </w:r>
    </w:p>
    <w:p w:rsidR="00427BA4" w:rsidRDefault="00427BA4">
      <w:pPr>
        <w:pStyle w:val="BodyText"/>
        <w:spacing w:before="4"/>
      </w:pPr>
    </w:p>
    <w:p w:rsidR="00427BA4" w:rsidRDefault="00BE6E72">
      <w:pPr>
        <w:pStyle w:val="ListParagraph"/>
        <w:numPr>
          <w:ilvl w:val="0"/>
          <w:numId w:val="3"/>
        </w:numPr>
        <w:tabs>
          <w:tab w:val="left" w:pos="820"/>
        </w:tabs>
        <w:jc w:val="both"/>
        <w:rPr>
          <w:sz w:val="24"/>
        </w:rPr>
      </w:pPr>
      <w:r>
        <w:rPr>
          <w:sz w:val="24"/>
        </w:rPr>
        <w:t xml:space="preserve">Upon a dismissal required or permitted pursuant to paragraphs 1 or 2 of this section, the Title IX Coordinator must promptly send written notice of the dismissal </w:t>
      </w:r>
      <w:r>
        <w:rPr>
          <w:spacing w:val="-5"/>
          <w:sz w:val="24"/>
        </w:rPr>
        <w:t xml:space="preserve">and </w:t>
      </w:r>
      <w:r>
        <w:rPr>
          <w:sz w:val="24"/>
        </w:rPr>
        <w:t>reason(s) therefor simultaneously to the parties.</w:t>
      </w:r>
    </w:p>
    <w:p w:rsidR="00427BA4" w:rsidRDefault="00427BA4">
      <w:pPr>
        <w:jc w:val="both"/>
        <w:rPr>
          <w:sz w:val="24"/>
        </w:rPr>
        <w:sectPr w:rsidR="00427BA4">
          <w:pgSz w:w="12240" w:h="15840"/>
          <w:pgMar w:top="1360" w:right="960" w:bottom="1200" w:left="980" w:header="0" w:footer="1016" w:gutter="0"/>
          <w:cols w:space="720"/>
        </w:sectPr>
      </w:pPr>
    </w:p>
    <w:p w:rsidR="00427BA4" w:rsidRDefault="00427BA4">
      <w:pPr>
        <w:pStyle w:val="BodyText"/>
        <w:rPr>
          <w:sz w:val="20"/>
        </w:rPr>
      </w:pPr>
    </w:p>
    <w:p w:rsidR="00427BA4" w:rsidRDefault="00427BA4">
      <w:pPr>
        <w:pStyle w:val="BodyText"/>
        <w:rPr>
          <w:sz w:val="20"/>
        </w:rPr>
      </w:pPr>
    </w:p>
    <w:p w:rsidR="00427BA4" w:rsidRDefault="00427BA4">
      <w:pPr>
        <w:pStyle w:val="BodyText"/>
        <w:rPr>
          <w:sz w:val="20"/>
        </w:rPr>
      </w:pPr>
    </w:p>
    <w:p w:rsidR="00427BA4" w:rsidRDefault="00427BA4">
      <w:pPr>
        <w:pStyle w:val="BodyText"/>
        <w:spacing w:before="5"/>
        <w:rPr>
          <w:sz w:val="23"/>
        </w:rPr>
      </w:pPr>
    </w:p>
    <w:p w:rsidR="00427BA4" w:rsidRDefault="00BE6E72">
      <w:pPr>
        <w:pStyle w:val="BodyText"/>
        <w:spacing w:before="92"/>
        <w:ind w:left="100"/>
      </w:pPr>
      <w:r>
        <w:rPr>
          <w:spacing w:val="-174"/>
          <w:u w:val="single"/>
        </w:rPr>
        <w:t>R</w:t>
      </w:r>
      <w:r>
        <w:rPr>
          <w:spacing w:val="106"/>
        </w:rPr>
        <w:t xml:space="preserve"> </w:t>
      </w:r>
      <w:r>
        <w:rPr>
          <w:u w:val="single"/>
        </w:rPr>
        <w:t>ECORDKEEPING</w:t>
      </w:r>
    </w:p>
    <w:p w:rsidR="00427BA4" w:rsidRDefault="00427BA4">
      <w:pPr>
        <w:pStyle w:val="BodyText"/>
        <w:spacing w:before="4"/>
        <w:rPr>
          <w:sz w:val="16"/>
        </w:rPr>
      </w:pPr>
    </w:p>
    <w:p w:rsidR="00427BA4" w:rsidRDefault="00BE6E72">
      <w:pPr>
        <w:pStyle w:val="BodyText"/>
        <w:spacing w:before="92"/>
        <w:ind w:left="100" w:right="269"/>
        <w:jc w:val="both"/>
      </w:pPr>
      <w:r>
        <w:t xml:space="preserve">The Title IX Coordinator must maintain for a period of seven (7) years records of any actions, including any supportive measures, taken in response to a report or formal complaint </w:t>
      </w:r>
      <w:r>
        <w:rPr>
          <w:spacing w:val="-10"/>
        </w:rPr>
        <w:t xml:space="preserve">of </w:t>
      </w:r>
      <w:r>
        <w:t xml:space="preserve">sexual harassment. In each instance, the Title IX Coordinator must document the basis </w:t>
      </w:r>
      <w:r>
        <w:rPr>
          <w:spacing w:val="-7"/>
        </w:rPr>
        <w:t xml:space="preserve">for </w:t>
      </w:r>
      <w:r>
        <w:t xml:space="preserve">the conclusion that any response was not deliberately indifferent, and must document </w:t>
      </w:r>
      <w:r>
        <w:rPr>
          <w:spacing w:val="-5"/>
        </w:rPr>
        <w:t xml:space="preserve">the </w:t>
      </w:r>
      <w:r>
        <w:t xml:space="preserve">measures taken and designed to restore or preserve equal access to the </w:t>
      </w:r>
      <w:r w:rsidR="00A319B5">
        <w:t>Morehouse Parish School Board</w:t>
      </w:r>
      <w:r>
        <w:t>’s education program or activity. If a complainant was not provided with supportive measures, then the Title IX Coordinator must document the reasons why such a response was not clearly unreasonable in light of the known circumstances.</w:t>
      </w:r>
      <w:r>
        <w:rPr>
          <w:spacing w:val="22"/>
        </w:rPr>
        <w:t xml:space="preserve"> </w:t>
      </w:r>
      <w:r>
        <w:t xml:space="preserve">The documentation of certain bases or measures does not limit the Title IX Coordinator in the future from providing additional explanations or detailing additional measures taken. </w:t>
      </w:r>
      <w:r>
        <w:rPr>
          <w:spacing w:val="-10"/>
        </w:rPr>
        <w:t xml:space="preserve">In </w:t>
      </w:r>
      <w:r>
        <w:t>addition, the following must also be maintained:</w:t>
      </w:r>
    </w:p>
    <w:p w:rsidR="00427BA4" w:rsidRDefault="00427BA4">
      <w:pPr>
        <w:pStyle w:val="BodyText"/>
        <w:spacing w:before="4"/>
      </w:pPr>
    </w:p>
    <w:p w:rsidR="00427BA4" w:rsidRDefault="00BE6E72">
      <w:pPr>
        <w:pStyle w:val="ListParagraph"/>
        <w:numPr>
          <w:ilvl w:val="0"/>
          <w:numId w:val="2"/>
        </w:numPr>
        <w:tabs>
          <w:tab w:val="left" w:pos="820"/>
        </w:tabs>
        <w:jc w:val="both"/>
        <w:rPr>
          <w:sz w:val="24"/>
        </w:rPr>
      </w:pPr>
      <w:r>
        <w:rPr>
          <w:sz w:val="24"/>
        </w:rPr>
        <w:t xml:space="preserve">Each sexual harassment investigation including any determination regarding responsibility and any audio or audiovisual recording or transcript, any disciplinary sanctions imposed on the respondent, and any remedies provided to the complainant designed to restore or preserve equal access to the </w:t>
      </w:r>
      <w:r w:rsidR="00A319B5">
        <w:rPr>
          <w:sz w:val="24"/>
        </w:rPr>
        <w:t>Morehouse Parish School Board</w:t>
      </w:r>
      <w:r>
        <w:rPr>
          <w:sz w:val="24"/>
        </w:rPr>
        <w:t>’s education program or activity;</w:t>
      </w:r>
    </w:p>
    <w:p w:rsidR="00427BA4" w:rsidRDefault="00427BA4">
      <w:pPr>
        <w:pStyle w:val="BodyText"/>
        <w:spacing w:before="4"/>
      </w:pPr>
    </w:p>
    <w:p w:rsidR="00427BA4" w:rsidRDefault="00BE6E72">
      <w:pPr>
        <w:pStyle w:val="ListParagraph"/>
        <w:numPr>
          <w:ilvl w:val="0"/>
          <w:numId w:val="2"/>
        </w:numPr>
        <w:tabs>
          <w:tab w:val="left" w:pos="819"/>
          <w:tab w:val="left" w:pos="820"/>
        </w:tabs>
        <w:ind w:right="0"/>
        <w:rPr>
          <w:sz w:val="24"/>
        </w:rPr>
      </w:pPr>
      <w:r>
        <w:rPr>
          <w:sz w:val="24"/>
        </w:rPr>
        <w:t>Any appeal and the result therefrom;</w:t>
      </w:r>
    </w:p>
    <w:p w:rsidR="00427BA4" w:rsidRDefault="00427BA4">
      <w:pPr>
        <w:pStyle w:val="BodyText"/>
        <w:spacing w:before="4"/>
      </w:pPr>
    </w:p>
    <w:p w:rsidR="00427BA4" w:rsidRDefault="00BE6E72">
      <w:pPr>
        <w:pStyle w:val="ListParagraph"/>
        <w:numPr>
          <w:ilvl w:val="0"/>
          <w:numId w:val="2"/>
        </w:numPr>
        <w:tabs>
          <w:tab w:val="left" w:pos="819"/>
          <w:tab w:val="left" w:pos="820"/>
        </w:tabs>
        <w:ind w:right="0"/>
        <w:rPr>
          <w:sz w:val="24"/>
        </w:rPr>
      </w:pPr>
      <w:r>
        <w:rPr>
          <w:sz w:val="24"/>
        </w:rPr>
        <w:t>Any informal resolution and the result therefrom; and</w:t>
      </w:r>
    </w:p>
    <w:p w:rsidR="00427BA4" w:rsidRDefault="00427BA4">
      <w:pPr>
        <w:pStyle w:val="BodyText"/>
        <w:spacing w:before="4"/>
      </w:pPr>
    </w:p>
    <w:p w:rsidR="00427BA4" w:rsidRDefault="00BE6E72">
      <w:pPr>
        <w:pStyle w:val="ListParagraph"/>
        <w:numPr>
          <w:ilvl w:val="0"/>
          <w:numId w:val="2"/>
        </w:numPr>
        <w:tabs>
          <w:tab w:val="left" w:pos="820"/>
        </w:tabs>
        <w:jc w:val="both"/>
        <w:rPr>
          <w:sz w:val="24"/>
        </w:rPr>
      </w:pPr>
      <w:r>
        <w:rPr>
          <w:sz w:val="24"/>
        </w:rPr>
        <w:t xml:space="preserve">All materials used to train the Title IX Coordinator(s), Investigator(s), Decision- Maker(s), and any person who facilitates an informal resolution process. All training materials must be publicly available on the </w:t>
      </w:r>
      <w:r w:rsidR="00A319B5">
        <w:rPr>
          <w:sz w:val="24"/>
        </w:rPr>
        <w:t>Morehouse Parish School Board</w:t>
      </w:r>
      <w:r>
        <w:rPr>
          <w:sz w:val="24"/>
        </w:rPr>
        <w:t xml:space="preserve"> website.</w:t>
      </w:r>
    </w:p>
    <w:p w:rsidR="00427BA4" w:rsidRDefault="00427BA4">
      <w:pPr>
        <w:pStyle w:val="BodyText"/>
        <w:spacing w:before="4"/>
        <w:rPr>
          <w:sz w:val="16"/>
        </w:rPr>
      </w:pPr>
    </w:p>
    <w:p w:rsidR="00427BA4" w:rsidRDefault="00BE6E72">
      <w:pPr>
        <w:pStyle w:val="BodyText"/>
        <w:spacing w:before="92"/>
        <w:ind w:left="100"/>
      </w:pPr>
      <w:r>
        <w:rPr>
          <w:spacing w:val="-174"/>
          <w:u w:val="single"/>
        </w:rPr>
        <w:t>R</w:t>
      </w:r>
      <w:r>
        <w:rPr>
          <w:spacing w:val="106"/>
        </w:rPr>
        <w:t xml:space="preserve"> </w:t>
      </w:r>
      <w:r>
        <w:rPr>
          <w:u w:val="single"/>
        </w:rPr>
        <w:t>ETALIATION IS PROHIBITED</w:t>
      </w:r>
    </w:p>
    <w:p w:rsidR="00427BA4" w:rsidRDefault="00427BA4">
      <w:pPr>
        <w:pStyle w:val="BodyText"/>
        <w:spacing w:before="4"/>
        <w:rPr>
          <w:sz w:val="16"/>
        </w:rPr>
      </w:pPr>
    </w:p>
    <w:p w:rsidR="00427BA4" w:rsidRDefault="00BE6E72">
      <w:pPr>
        <w:pStyle w:val="ListParagraph"/>
        <w:numPr>
          <w:ilvl w:val="0"/>
          <w:numId w:val="1"/>
        </w:numPr>
        <w:tabs>
          <w:tab w:val="left" w:pos="820"/>
        </w:tabs>
        <w:spacing w:before="92"/>
        <w:jc w:val="both"/>
        <w:rPr>
          <w:sz w:val="24"/>
        </w:rPr>
      </w:pPr>
      <w:r>
        <w:rPr>
          <w:sz w:val="24"/>
        </w:rPr>
        <w:t xml:space="preserve">Retaliation of any nature against any student or employee who makes a report or complaint or who participates in any investigation under this policy is a </w:t>
      </w:r>
      <w:r>
        <w:rPr>
          <w:spacing w:val="-3"/>
          <w:sz w:val="24"/>
        </w:rPr>
        <w:t xml:space="preserve">serious </w:t>
      </w:r>
      <w:r>
        <w:rPr>
          <w:sz w:val="24"/>
        </w:rPr>
        <w:t xml:space="preserve">violation of the </w:t>
      </w:r>
      <w:r w:rsidR="00A319B5">
        <w:rPr>
          <w:sz w:val="24"/>
        </w:rPr>
        <w:t>Morehouse Parish School Board</w:t>
      </w:r>
      <w:r>
        <w:rPr>
          <w:sz w:val="24"/>
        </w:rPr>
        <w:t xml:space="preserve">’s sex discrimination policy. </w:t>
      </w:r>
      <w:r>
        <w:rPr>
          <w:spacing w:val="-4"/>
          <w:sz w:val="24"/>
        </w:rPr>
        <w:t>Such</w:t>
      </w:r>
      <w:r>
        <w:rPr>
          <w:spacing w:val="58"/>
          <w:sz w:val="24"/>
        </w:rPr>
        <w:t xml:space="preserve"> </w:t>
      </w:r>
      <w:r>
        <w:rPr>
          <w:sz w:val="24"/>
        </w:rPr>
        <w:t xml:space="preserve">retaliation is considered an act of sexual harassment itself; therefore, reports </w:t>
      </w:r>
      <w:r>
        <w:rPr>
          <w:spacing w:val="-5"/>
          <w:sz w:val="24"/>
        </w:rPr>
        <w:t xml:space="preserve">and </w:t>
      </w:r>
      <w:r>
        <w:rPr>
          <w:sz w:val="24"/>
        </w:rPr>
        <w:t xml:space="preserve">complaints of such retaliation are handled in the same manner as those of sexual harassment. All references to “sexual harassment” in this policy and the related procedures shall also include retaliation. No person may intimidate, threaten, coerce, or discriminate against any individual for the purpose of interfering with any right </w:t>
      </w:r>
      <w:r>
        <w:rPr>
          <w:spacing w:val="-6"/>
          <w:sz w:val="24"/>
        </w:rPr>
        <w:t xml:space="preserve">or </w:t>
      </w:r>
      <w:r>
        <w:rPr>
          <w:sz w:val="24"/>
        </w:rPr>
        <w:t xml:space="preserve">privilege secured by Title IX or this policy, or because the individual has made a report or complaint, testified, assisted, or participated or refused to participate in any </w:t>
      </w:r>
      <w:r>
        <w:rPr>
          <w:spacing w:val="-3"/>
          <w:sz w:val="24"/>
        </w:rPr>
        <w:t xml:space="preserve">manner </w:t>
      </w:r>
      <w:r>
        <w:rPr>
          <w:sz w:val="24"/>
        </w:rPr>
        <w:t>in an investigation, proceeding, or meeting under this procedure. Intimidation, threats, coercion,</w:t>
      </w:r>
      <w:r>
        <w:rPr>
          <w:spacing w:val="14"/>
          <w:sz w:val="24"/>
        </w:rPr>
        <w:t xml:space="preserve"> </w:t>
      </w:r>
      <w:r>
        <w:rPr>
          <w:sz w:val="24"/>
        </w:rPr>
        <w:t>or</w:t>
      </w:r>
      <w:r>
        <w:rPr>
          <w:spacing w:val="14"/>
          <w:sz w:val="24"/>
        </w:rPr>
        <w:t xml:space="preserve"> </w:t>
      </w:r>
      <w:r>
        <w:rPr>
          <w:sz w:val="24"/>
        </w:rPr>
        <w:t>discrimination</w:t>
      </w:r>
      <w:r>
        <w:rPr>
          <w:spacing w:val="14"/>
          <w:sz w:val="24"/>
        </w:rPr>
        <w:t xml:space="preserve"> </w:t>
      </w:r>
      <w:r>
        <w:rPr>
          <w:sz w:val="24"/>
        </w:rPr>
        <w:t>constitute</w:t>
      </w:r>
      <w:r>
        <w:rPr>
          <w:spacing w:val="15"/>
          <w:sz w:val="24"/>
        </w:rPr>
        <w:t xml:space="preserve"> </w:t>
      </w:r>
      <w:r>
        <w:rPr>
          <w:sz w:val="24"/>
        </w:rPr>
        <w:t>retaliation.</w:t>
      </w:r>
      <w:r>
        <w:rPr>
          <w:spacing w:val="14"/>
          <w:sz w:val="24"/>
        </w:rPr>
        <w:t xml:space="preserve"> </w:t>
      </w:r>
      <w:r>
        <w:rPr>
          <w:sz w:val="24"/>
        </w:rPr>
        <w:t>These</w:t>
      </w:r>
      <w:r>
        <w:rPr>
          <w:spacing w:val="14"/>
          <w:sz w:val="24"/>
        </w:rPr>
        <w:t xml:space="preserve"> </w:t>
      </w:r>
      <w:r>
        <w:rPr>
          <w:sz w:val="24"/>
        </w:rPr>
        <w:t>prohibited</w:t>
      </w:r>
      <w:r>
        <w:rPr>
          <w:spacing w:val="14"/>
          <w:sz w:val="24"/>
        </w:rPr>
        <w:t xml:space="preserve"> </w:t>
      </w:r>
      <w:r>
        <w:rPr>
          <w:sz w:val="24"/>
        </w:rPr>
        <w:t>actions</w:t>
      </w:r>
      <w:r>
        <w:rPr>
          <w:spacing w:val="15"/>
          <w:sz w:val="24"/>
        </w:rPr>
        <w:t xml:space="preserve"> </w:t>
      </w:r>
      <w:r>
        <w:rPr>
          <w:spacing w:val="-3"/>
          <w:sz w:val="24"/>
        </w:rPr>
        <w:t>include</w:t>
      </w:r>
    </w:p>
    <w:p w:rsidR="00427BA4" w:rsidRDefault="00427BA4">
      <w:pPr>
        <w:jc w:val="both"/>
        <w:rPr>
          <w:sz w:val="24"/>
        </w:rPr>
        <w:sectPr w:rsidR="00427BA4">
          <w:pgSz w:w="12240" w:h="15840"/>
          <w:pgMar w:top="1500" w:right="960" w:bottom="1200" w:left="980" w:header="0" w:footer="1016" w:gutter="0"/>
          <w:cols w:space="720"/>
        </w:sectPr>
      </w:pPr>
    </w:p>
    <w:p w:rsidR="00427BA4" w:rsidRDefault="00BE6E72">
      <w:pPr>
        <w:pStyle w:val="BodyText"/>
        <w:spacing w:before="80"/>
        <w:ind w:left="820" w:right="269"/>
        <w:jc w:val="both"/>
      </w:pPr>
      <w:r>
        <w:lastRenderedPageBreak/>
        <w:t>charges against an individual for code of conduct violations that do not involve sex discrimination or sexual harassment, but arise out of the same facts or circumstances as a report or complaint of sex discrimination or a report or formal complaint of sexual harassment, for the purpose of interfering with any right or privilege secured by Title IX or 34 CFR Part 106 (the Title IX regulations).</w:t>
      </w:r>
    </w:p>
    <w:p w:rsidR="00427BA4" w:rsidRDefault="00427BA4">
      <w:pPr>
        <w:pStyle w:val="BodyText"/>
        <w:spacing w:before="4"/>
      </w:pPr>
    </w:p>
    <w:p w:rsidR="00427BA4" w:rsidRDefault="00BE6E72">
      <w:pPr>
        <w:pStyle w:val="BodyText"/>
        <w:ind w:left="820" w:right="269"/>
        <w:jc w:val="both"/>
      </w:pPr>
      <w:r>
        <w:t>The Title IX Coordinator must keep confidential the identity of any individual who has made a report or complaint of sex discrimination, including any individual who has made a report or filed a formal complaint of sexual harassment, any complainant, any individual who has been reported to be the perpetrator of sex discrimination, any respondent, and any witness (except as may be permitted by the FERPA statute (20</w:t>
      </w:r>
    </w:p>
    <w:p w:rsidR="00427BA4" w:rsidRDefault="00BE6E72">
      <w:pPr>
        <w:pStyle w:val="BodyText"/>
        <w:ind w:left="820" w:right="269"/>
        <w:jc w:val="both"/>
      </w:pPr>
      <w:r>
        <w:t xml:space="preserve">U.S.C. 1232g), FERPA regulations (34 CFR Part 99), or as required by law, or to </w:t>
      </w:r>
      <w:r>
        <w:rPr>
          <w:spacing w:val="-4"/>
        </w:rPr>
        <w:t xml:space="preserve">carry </w:t>
      </w:r>
      <w:r>
        <w:t xml:space="preserve">out the purposes of 34 CFR Part 106, including the conduct of any investigation, or judicial proceeding arising thereunder). Complaints alleging retaliation may be </w:t>
      </w:r>
      <w:r>
        <w:rPr>
          <w:spacing w:val="-3"/>
        </w:rPr>
        <w:t xml:space="preserve">filed </w:t>
      </w:r>
      <w:r>
        <w:t>according to these procedures.</w:t>
      </w:r>
    </w:p>
    <w:p w:rsidR="00427BA4" w:rsidRDefault="00427BA4">
      <w:pPr>
        <w:pStyle w:val="BodyText"/>
        <w:spacing w:before="4"/>
      </w:pPr>
    </w:p>
    <w:p w:rsidR="00427BA4" w:rsidRDefault="00BE6E72">
      <w:pPr>
        <w:pStyle w:val="ListParagraph"/>
        <w:numPr>
          <w:ilvl w:val="0"/>
          <w:numId w:val="1"/>
        </w:numPr>
        <w:tabs>
          <w:tab w:val="left" w:pos="819"/>
          <w:tab w:val="left" w:pos="820"/>
        </w:tabs>
        <w:ind w:right="0"/>
        <w:rPr>
          <w:sz w:val="24"/>
        </w:rPr>
      </w:pPr>
      <w:r>
        <w:rPr>
          <w:sz w:val="24"/>
        </w:rPr>
        <w:t>Specific circumstances.</w:t>
      </w:r>
    </w:p>
    <w:p w:rsidR="00427BA4" w:rsidRDefault="00427BA4">
      <w:pPr>
        <w:pStyle w:val="BodyText"/>
        <w:spacing w:before="4"/>
      </w:pPr>
    </w:p>
    <w:p w:rsidR="00427BA4" w:rsidRDefault="00BE6E72">
      <w:pPr>
        <w:pStyle w:val="ListParagraph"/>
        <w:numPr>
          <w:ilvl w:val="1"/>
          <w:numId w:val="1"/>
        </w:numPr>
        <w:tabs>
          <w:tab w:val="left" w:pos="1217"/>
        </w:tabs>
        <w:ind w:firstLine="0"/>
        <w:jc w:val="both"/>
        <w:rPr>
          <w:sz w:val="24"/>
        </w:rPr>
      </w:pPr>
      <w:r>
        <w:rPr>
          <w:sz w:val="24"/>
        </w:rPr>
        <w:t>The exercise of rights protected under the First Amendment does not constitute retaliation prohibited under paragraph 1 of this section.</w:t>
      </w:r>
    </w:p>
    <w:p w:rsidR="00427BA4" w:rsidRDefault="00427BA4">
      <w:pPr>
        <w:pStyle w:val="BodyText"/>
        <w:spacing w:before="4"/>
      </w:pPr>
    </w:p>
    <w:p w:rsidR="00427BA4" w:rsidRDefault="00BE6E72">
      <w:pPr>
        <w:pStyle w:val="ListParagraph"/>
        <w:numPr>
          <w:ilvl w:val="1"/>
          <w:numId w:val="1"/>
        </w:numPr>
        <w:tabs>
          <w:tab w:val="left" w:pos="1182"/>
        </w:tabs>
        <w:ind w:firstLine="0"/>
        <w:jc w:val="both"/>
        <w:rPr>
          <w:sz w:val="24"/>
        </w:rPr>
      </w:pPr>
      <w:r>
        <w:rPr>
          <w:sz w:val="24"/>
        </w:rPr>
        <w:t xml:space="preserve">Charging an individual with a code of conduct violation for making a materially </w:t>
      </w:r>
      <w:r>
        <w:rPr>
          <w:spacing w:val="-3"/>
          <w:sz w:val="24"/>
        </w:rPr>
        <w:t xml:space="preserve">false </w:t>
      </w:r>
      <w:r>
        <w:rPr>
          <w:sz w:val="24"/>
        </w:rPr>
        <w:t>statement in bad faith in the course of a proceeding under these procedures does not constitute retaliation prohibited under paragraph 1 of this section, provided, however, that a determination regarding responsibility, alone, is not sufficient to conclude that any party made a materially false statement in bad faith.</w:t>
      </w:r>
    </w:p>
    <w:p w:rsidR="00427BA4" w:rsidRDefault="00427BA4">
      <w:pPr>
        <w:pStyle w:val="BodyText"/>
        <w:spacing w:before="3"/>
        <w:rPr>
          <w:sz w:val="16"/>
        </w:rPr>
      </w:pPr>
    </w:p>
    <w:p w:rsidR="00427BA4" w:rsidRDefault="00BE6E72">
      <w:pPr>
        <w:pStyle w:val="BodyText"/>
        <w:spacing w:before="93"/>
        <w:ind w:left="100"/>
      </w:pPr>
      <w:r>
        <w:rPr>
          <w:spacing w:val="-161"/>
          <w:u w:val="single"/>
        </w:rPr>
        <w:t>S</w:t>
      </w:r>
      <w:r>
        <w:rPr>
          <w:spacing w:val="93"/>
        </w:rPr>
        <w:t xml:space="preserve"> </w:t>
      </w:r>
      <w:r>
        <w:rPr>
          <w:u w:val="single"/>
        </w:rPr>
        <w:t>PECIAL SITUATIONS</w:t>
      </w:r>
    </w:p>
    <w:p w:rsidR="00427BA4" w:rsidRDefault="00427BA4">
      <w:pPr>
        <w:pStyle w:val="BodyText"/>
        <w:spacing w:before="3"/>
        <w:rPr>
          <w:sz w:val="16"/>
        </w:rPr>
      </w:pPr>
    </w:p>
    <w:p w:rsidR="00427BA4" w:rsidRDefault="00BE6E72">
      <w:pPr>
        <w:pStyle w:val="BodyText"/>
        <w:spacing w:before="93"/>
        <w:ind w:left="100" w:right="269"/>
        <w:jc w:val="both"/>
      </w:pPr>
      <w:r>
        <w:t xml:space="preserve">If the victim of the alleged sexual harassment is a minor student and if the </w:t>
      </w:r>
      <w:r>
        <w:rPr>
          <w:spacing w:val="-3"/>
        </w:rPr>
        <w:t xml:space="preserve">alleged </w:t>
      </w:r>
      <w:r>
        <w:t>harassment falls within the definition of abuse</w:t>
      </w:r>
      <w:r w:rsidR="00FF0A11">
        <w:t xml:space="preserve"> as found in Board's policy regarding</w:t>
      </w:r>
      <w:r>
        <w:t xml:space="preserve"> Child Abuse, then all school employees with knowledge shall be considered mandatory reporters and </w:t>
      </w:r>
      <w:r>
        <w:rPr>
          <w:spacing w:val="-6"/>
        </w:rPr>
        <w:t xml:space="preserve">the </w:t>
      </w:r>
      <w:r>
        <w:t xml:space="preserve">allegations must be reported to child protection or law enforcement as provided by state </w:t>
      </w:r>
      <w:r>
        <w:rPr>
          <w:spacing w:val="-4"/>
        </w:rPr>
        <w:t xml:space="preserve">law </w:t>
      </w:r>
      <w:r>
        <w:t xml:space="preserve">and the Board policy on child abuse. Such reporting must be made in addition to </w:t>
      </w:r>
      <w:r>
        <w:rPr>
          <w:spacing w:val="-5"/>
        </w:rPr>
        <w:t xml:space="preserve">any </w:t>
      </w:r>
      <w:r>
        <w:t>procedures for handling sexual harassment or any other complaints.</w:t>
      </w:r>
    </w:p>
    <w:p w:rsidR="00427BA4" w:rsidRDefault="00427BA4">
      <w:pPr>
        <w:pStyle w:val="BodyText"/>
        <w:spacing w:before="4"/>
      </w:pPr>
    </w:p>
    <w:p w:rsidR="00427BA4" w:rsidRDefault="00BE6E72">
      <w:pPr>
        <w:pStyle w:val="BodyText"/>
        <w:ind w:left="100" w:right="269"/>
        <w:jc w:val="both"/>
      </w:pPr>
      <w:r>
        <w:t xml:space="preserve">Any </w:t>
      </w:r>
      <w:r w:rsidR="00A319B5">
        <w:t>Morehouse Parish School Board</w:t>
      </w:r>
      <w:r>
        <w:t xml:space="preserve"> employee who has reason to believe that a sexual offense has occurred under Louisiana law or that constitutes prohibited sexual conduct between an educator and a student must immediately report such information to the Title IX Coordinator who will file a report with the appropriate local or state law enforcement agency. Failure to make such report may result in disciplinary action against the employee, up to and including possible termination.</w:t>
      </w:r>
    </w:p>
    <w:p w:rsidR="00427BA4" w:rsidRDefault="00427BA4">
      <w:pPr>
        <w:pStyle w:val="BodyText"/>
        <w:spacing w:before="4"/>
        <w:rPr>
          <w:sz w:val="16"/>
        </w:rPr>
      </w:pPr>
    </w:p>
    <w:p w:rsidR="00427BA4" w:rsidRDefault="00BE6E72">
      <w:pPr>
        <w:pStyle w:val="BodyText"/>
        <w:spacing w:before="92"/>
        <w:ind w:left="100"/>
      </w:pPr>
      <w:r>
        <w:rPr>
          <w:spacing w:val="-147"/>
          <w:u w:val="single"/>
        </w:rPr>
        <w:t>T</w:t>
      </w:r>
      <w:r>
        <w:rPr>
          <w:spacing w:val="79"/>
        </w:rPr>
        <w:t xml:space="preserve"> </w:t>
      </w:r>
      <w:r>
        <w:rPr>
          <w:u w:val="single"/>
        </w:rPr>
        <w:t>RAINING</w:t>
      </w:r>
    </w:p>
    <w:p w:rsidR="00427BA4" w:rsidRDefault="00427BA4">
      <w:pPr>
        <w:sectPr w:rsidR="00427BA4">
          <w:pgSz w:w="12240" w:h="15840"/>
          <w:pgMar w:top="1360" w:right="960" w:bottom="1200" w:left="980" w:header="0" w:footer="1016" w:gutter="0"/>
          <w:cols w:space="720"/>
        </w:sectPr>
      </w:pPr>
    </w:p>
    <w:p w:rsidR="00427BA4" w:rsidRDefault="00BE6E72">
      <w:pPr>
        <w:pStyle w:val="BodyText"/>
        <w:spacing w:before="80"/>
        <w:ind w:left="100" w:right="269"/>
        <w:jc w:val="both"/>
      </w:pPr>
      <w:r>
        <w:lastRenderedPageBreak/>
        <w:t xml:space="preserve">The Title IX Coordinator, Investigator(s), Decision-Maker(s), and any person who facilitates an informal resolution process, must receive training on the definition of sexual harassment as stated in this procedure, the scope of the </w:t>
      </w:r>
      <w:r w:rsidR="00A319B5">
        <w:t>Morehouse Parish School Board</w:t>
      </w:r>
      <w:r>
        <w:t xml:space="preserve">’s education program or activity, how to conduct an investigation and grievance process including interviews, appeals, and informal resolution processes, as applicable, and how to </w:t>
      </w:r>
      <w:r>
        <w:rPr>
          <w:spacing w:val="-3"/>
        </w:rPr>
        <w:t xml:space="preserve">serve </w:t>
      </w:r>
      <w:r>
        <w:t xml:space="preserve">impartially, including by avoiding prejudgment of the facts at issue, conflicts of interest, and bias. All Decision-Makers must receive training on any technology to be used on issues of relevance of questions and evidence, including when questions and evidence about </w:t>
      </w:r>
      <w:r>
        <w:rPr>
          <w:spacing w:val="-7"/>
        </w:rPr>
        <w:t xml:space="preserve">the </w:t>
      </w:r>
      <w:r>
        <w:t xml:space="preserve">complainant’s sexual predisposition or prior sexual behavior are not relevant. </w:t>
      </w:r>
      <w:r>
        <w:rPr>
          <w:spacing w:val="-2"/>
        </w:rPr>
        <w:t xml:space="preserve">Investigators </w:t>
      </w:r>
      <w:r>
        <w:t xml:space="preserve">must receive training on issues of relevance to create an investigative report that </w:t>
      </w:r>
      <w:r>
        <w:rPr>
          <w:spacing w:val="-3"/>
        </w:rPr>
        <w:t xml:space="preserve">fairly </w:t>
      </w:r>
      <w:r>
        <w:t xml:space="preserve">summarizes relevant evidence. Any materials used to train Title IX Coordinators, Investigators, Decision-Makers, and any person who facilitates an informal resolution process, must not rely on sex stereotypes, and must promote impartial investigations </w:t>
      </w:r>
      <w:r>
        <w:rPr>
          <w:spacing w:val="-4"/>
        </w:rPr>
        <w:t xml:space="preserve">and </w:t>
      </w:r>
      <w:r>
        <w:t>adjudications of formal complaints of sexual harassment.</w:t>
      </w:r>
    </w:p>
    <w:p w:rsidR="00427BA4" w:rsidRDefault="00427BA4">
      <w:pPr>
        <w:pStyle w:val="BodyText"/>
        <w:spacing w:before="3"/>
        <w:rPr>
          <w:sz w:val="16"/>
        </w:rPr>
      </w:pPr>
    </w:p>
    <w:p w:rsidR="00427BA4" w:rsidRDefault="00BE6E72">
      <w:pPr>
        <w:pStyle w:val="BodyText"/>
        <w:spacing w:before="93"/>
        <w:ind w:left="100"/>
      </w:pPr>
      <w:r>
        <w:rPr>
          <w:spacing w:val="-161"/>
          <w:u w:val="single"/>
        </w:rPr>
        <w:t>P</w:t>
      </w:r>
      <w:r>
        <w:rPr>
          <w:spacing w:val="93"/>
        </w:rPr>
        <w:t xml:space="preserve"> </w:t>
      </w:r>
      <w:r>
        <w:rPr>
          <w:u w:val="single"/>
        </w:rPr>
        <w:t>OLICE AND MEDICAL RESOURCES</w:t>
      </w:r>
    </w:p>
    <w:p w:rsidR="00427BA4" w:rsidRDefault="00427BA4">
      <w:pPr>
        <w:pStyle w:val="BodyText"/>
        <w:spacing w:before="3"/>
        <w:rPr>
          <w:sz w:val="16"/>
        </w:rPr>
      </w:pPr>
    </w:p>
    <w:p w:rsidR="00427BA4" w:rsidRDefault="00BE6E72">
      <w:pPr>
        <w:pStyle w:val="BodyText"/>
        <w:spacing w:before="93"/>
        <w:ind w:left="100" w:right="269"/>
        <w:jc w:val="both"/>
      </w:pPr>
      <w:r>
        <w:t>A student who experiences any form of sexual assault is strongly encouraged to seek immediate medical care. Students may undergo a medical exam to properly collect and preserve physical evidence of any sexual assault with or without police involvement. For a medical emergency and/or to make a report to law enforcement call 911.</w:t>
      </w:r>
    </w:p>
    <w:sectPr w:rsidR="00427BA4">
      <w:pgSz w:w="12240" w:h="15840"/>
      <w:pgMar w:top="1360" w:right="960" w:bottom="1200" w:left="980" w:header="0" w:footer="101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B2D" w:rsidRDefault="00866B2D">
      <w:r>
        <w:separator/>
      </w:r>
    </w:p>
  </w:endnote>
  <w:endnote w:type="continuationSeparator" w:id="0">
    <w:p w:rsidR="00866B2D" w:rsidRDefault="0086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A4" w:rsidRDefault="00A319B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3776980</wp:posOffset>
              </wp:positionH>
              <wp:positionV relativeFrom="page">
                <wp:posOffset>9273540</wp:posOffset>
              </wp:positionV>
              <wp:extent cx="217805"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BA4" w:rsidRDefault="00BE6E72">
                          <w:pPr>
                            <w:spacing w:line="244" w:lineRule="exact"/>
                            <w:ind w:left="60"/>
                            <w:rPr>
                              <w:rFonts w:ascii="Calibri"/>
                            </w:rPr>
                          </w:pPr>
                          <w:r>
                            <w:fldChar w:fldCharType="begin"/>
                          </w:r>
                          <w:r>
                            <w:rPr>
                              <w:rFonts w:ascii="Calibri"/>
                            </w:rPr>
                            <w:instrText xml:space="preserve"> PAGE </w:instrText>
                          </w:r>
                          <w:r>
                            <w:fldChar w:fldCharType="separate"/>
                          </w:r>
                          <w:r w:rsidR="00661B26">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7.4pt;margin-top:730.2pt;width:17.1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" filled="f" stroked="f">
              <v:textbox inset="0,0,0,0">
                <w:txbxContent>
                  <w:p w:rsidR="00427BA4" w:rsidRDefault="00BE6E72">
                    <w:pPr>
                      <w:spacing w:line="244" w:lineRule="exact"/>
                      <w:ind w:left="60"/>
                      <w:rPr>
                        <w:rFonts w:ascii="Calibri"/>
                      </w:rPr>
                    </w:pPr>
                    <w:r>
                      <w:fldChar w:fldCharType="begin"/>
                    </w:r>
                    <w:r>
                      <w:rPr>
                        <w:rFonts w:ascii="Calibri"/>
                      </w:rPr>
                      <w:instrText xml:space="preserve"> PAGE </w:instrText>
                    </w:r>
                    <w:r>
                      <w:fldChar w:fldCharType="separate"/>
                    </w:r>
                    <w:r w:rsidR="00661B26">
                      <w:rPr>
                        <w:rFonts w:ascii="Calibri"/>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B2D" w:rsidRDefault="00866B2D">
      <w:r>
        <w:separator/>
      </w:r>
    </w:p>
  </w:footnote>
  <w:footnote w:type="continuationSeparator" w:id="0">
    <w:p w:rsidR="00866B2D" w:rsidRDefault="00866B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034D9"/>
    <w:multiLevelType w:val="hybridMultilevel"/>
    <w:tmpl w:val="5EA42AF0"/>
    <w:lvl w:ilvl="0" w:tplc="7F8A631E">
      <w:start w:val="1"/>
      <w:numFmt w:val="decimal"/>
      <w:lvlText w:val="%1."/>
      <w:lvlJc w:val="left"/>
      <w:pPr>
        <w:ind w:left="820" w:hanging="720"/>
        <w:jc w:val="left"/>
      </w:pPr>
      <w:rPr>
        <w:rFonts w:ascii="Arial" w:eastAsia="Arial" w:hAnsi="Arial" w:cs="Arial" w:hint="default"/>
        <w:spacing w:val="-31"/>
        <w:w w:val="100"/>
        <w:sz w:val="24"/>
        <w:szCs w:val="24"/>
      </w:rPr>
    </w:lvl>
    <w:lvl w:ilvl="1" w:tplc="0A06E02C">
      <w:start w:val="1"/>
      <w:numFmt w:val="lowerLetter"/>
      <w:lvlText w:val="%2."/>
      <w:lvlJc w:val="left"/>
      <w:pPr>
        <w:ind w:left="1540" w:hanging="720"/>
        <w:jc w:val="left"/>
      </w:pPr>
      <w:rPr>
        <w:rFonts w:ascii="Arial" w:eastAsia="Arial" w:hAnsi="Arial" w:cs="Arial" w:hint="default"/>
        <w:spacing w:val="-14"/>
        <w:w w:val="100"/>
        <w:sz w:val="24"/>
        <w:szCs w:val="24"/>
      </w:rPr>
    </w:lvl>
    <w:lvl w:ilvl="2" w:tplc="7A8E018C">
      <w:start w:val="1"/>
      <w:numFmt w:val="lowerRoman"/>
      <w:lvlText w:val="%3."/>
      <w:lvlJc w:val="left"/>
      <w:pPr>
        <w:ind w:left="2980" w:hanging="720"/>
        <w:jc w:val="left"/>
      </w:pPr>
      <w:rPr>
        <w:rFonts w:ascii="Arial" w:eastAsia="Arial" w:hAnsi="Arial" w:cs="Arial" w:hint="default"/>
        <w:spacing w:val="-34"/>
        <w:w w:val="100"/>
        <w:sz w:val="24"/>
        <w:szCs w:val="24"/>
      </w:rPr>
    </w:lvl>
    <w:lvl w:ilvl="3" w:tplc="C39CAF46">
      <w:numFmt w:val="bullet"/>
      <w:lvlText w:val="•"/>
      <w:lvlJc w:val="left"/>
      <w:pPr>
        <w:ind w:left="3895" w:hanging="720"/>
      </w:pPr>
      <w:rPr>
        <w:rFonts w:hint="default"/>
      </w:rPr>
    </w:lvl>
    <w:lvl w:ilvl="4" w:tplc="9B42DCAC">
      <w:numFmt w:val="bullet"/>
      <w:lvlText w:val="•"/>
      <w:lvlJc w:val="left"/>
      <w:pPr>
        <w:ind w:left="4810" w:hanging="720"/>
      </w:pPr>
      <w:rPr>
        <w:rFonts w:hint="default"/>
      </w:rPr>
    </w:lvl>
    <w:lvl w:ilvl="5" w:tplc="62D02E6A">
      <w:numFmt w:val="bullet"/>
      <w:lvlText w:val="•"/>
      <w:lvlJc w:val="left"/>
      <w:pPr>
        <w:ind w:left="5725" w:hanging="720"/>
      </w:pPr>
      <w:rPr>
        <w:rFonts w:hint="default"/>
      </w:rPr>
    </w:lvl>
    <w:lvl w:ilvl="6" w:tplc="1D387260">
      <w:numFmt w:val="bullet"/>
      <w:lvlText w:val="•"/>
      <w:lvlJc w:val="left"/>
      <w:pPr>
        <w:ind w:left="6640" w:hanging="720"/>
      </w:pPr>
      <w:rPr>
        <w:rFonts w:hint="default"/>
      </w:rPr>
    </w:lvl>
    <w:lvl w:ilvl="7" w:tplc="3C502C9A">
      <w:numFmt w:val="bullet"/>
      <w:lvlText w:val="•"/>
      <w:lvlJc w:val="left"/>
      <w:pPr>
        <w:ind w:left="7555" w:hanging="720"/>
      </w:pPr>
      <w:rPr>
        <w:rFonts w:hint="default"/>
      </w:rPr>
    </w:lvl>
    <w:lvl w:ilvl="8" w:tplc="9D320B06">
      <w:numFmt w:val="bullet"/>
      <w:lvlText w:val="•"/>
      <w:lvlJc w:val="left"/>
      <w:pPr>
        <w:ind w:left="8470" w:hanging="720"/>
      </w:pPr>
      <w:rPr>
        <w:rFonts w:hint="default"/>
      </w:rPr>
    </w:lvl>
  </w:abstractNum>
  <w:abstractNum w:abstractNumId="1" w15:restartNumberingAfterBreak="0">
    <w:nsid w:val="0D8F66A6"/>
    <w:multiLevelType w:val="hybridMultilevel"/>
    <w:tmpl w:val="985A1FFE"/>
    <w:lvl w:ilvl="0" w:tplc="D92C20F2">
      <w:start w:val="1"/>
      <w:numFmt w:val="decimal"/>
      <w:lvlText w:val="%1."/>
      <w:lvlJc w:val="left"/>
      <w:pPr>
        <w:ind w:left="820" w:hanging="720"/>
        <w:jc w:val="left"/>
      </w:pPr>
      <w:rPr>
        <w:rFonts w:ascii="Arial" w:eastAsia="Arial" w:hAnsi="Arial" w:cs="Arial" w:hint="default"/>
        <w:spacing w:val="-29"/>
        <w:w w:val="100"/>
        <w:sz w:val="24"/>
        <w:szCs w:val="24"/>
      </w:rPr>
    </w:lvl>
    <w:lvl w:ilvl="1" w:tplc="50E6E19A">
      <w:numFmt w:val="bullet"/>
      <w:lvlText w:val="•"/>
      <w:lvlJc w:val="left"/>
      <w:pPr>
        <w:ind w:left="1768" w:hanging="720"/>
      </w:pPr>
      <w:rPr>
        <w:rFonts w:hint="default"/>
      </w:rPr>
    </w:lvl>
    <w:lvl w:ilvl="2" w:tplc="8878E816">
      <w:numFmt w:val="bullet"/>
      <w:lvlText w:val="•"/>
      <w:lvlJc w:val="left"/>
      <w:pPr>
        <w:ind w:left="2716" w:hanging="720"/>
      </w:pPr>
      <w:rPr>
        <w:rFonts w:hint="default"/>
      </w:rPr>
    </w:lvl>
    <w:lvl w:ilvl="3" w:tplc="5134C902">
      <w:numFmt w:val="bullet"/>
      <w:lvlText w:val="•"/>
      <w:lvlJc w:val="left"/>
      <w:pPr>
        <w:ind w:left="3664" w:hanging="720"/>
      </w:pPr>
      <w:rPr>
        <w:rFonts w:hint="default"/>
      </w:rPr>
    </w:lvl>
    <w:lvl w:ilvl="4" w:tplc="DA7AF616">
      <w:numFmt w:val="bullet"/>
      <w:lvlText w:val="•"/>
      <w:lvlJc w:val="left"/>
      <w:pPr>
        <w:ind w:left="4612" w:hanging="720"/>
      </w:pPr>
      <w:rPr>
        <w:rFonts w:hint="default"/>
      </w:rPr>
    </w:lvl>
    <w:lvl w:ilvl="5" w:tplc="48E839CA">
      <w:numFmt w:val="bullet"/>
      <w:lvlText w:val="•"/>
      <w:lvlJc w:val="left"/>
      <w:pPr>
        <w:ind w:left="5560" w:hanging="720"/>
      </w:pPr>
      <w:rPr>
        <w:rFonts w:hint="default"/>
      </w:rPr>
    </w:lvl>
    <w:lvl w:ilvl="6" w:tplc="4DE6D626">
      <w:numFmt w:val="bullet"/>
      <w:lvlText w:val="•"/>
      <w:lvlJc w:val="left"/>
      <w:pPr>
        <w:ind w:left="6508" w:hanging="720"/>
      </w:pPr>
      <w:rPr>
        <w:rFonts w:hint="default"/>
      </w:rPr>
    </w:lvl>
    <w:lvl w:ilvl="7" w:tplc="1C983254">
      <w:numFmt w:val="bullet"/>
      <w:lvlText w:val="•"/>
      <w:lvlJc w:val="left"/>
      <w:pPr>
        <w:ind w:left="7456" w:hanging="720"/>
      </w:pPr>
      <w:rPr>
        <w:rFonts w:hint="default"/>
      </w:rPr>
    </w:lvl>
    <w:lvl w:ilvl="8" w:tplc="071C0042">
      <w:numFmt w:val="bullet"/>
      <w:lvlText w:val="•"/>
      <w:lvlJc w:val="left"/>
      <w:pPr>
        <w:ind w:left="8404" w:hanging="720"/>
      </w:pPr>
      <w:rPr>
        <w:rFonts w:hint="default"/>
      </w:rPr>
    </w:lvl>
  </w:abstractNum>
  <w:abstractNum w:abstractNumId="2" w15:restartNumberingAfterBreak="0">
    <w:nsid w:val="0FD172CE"/>
    <w:multiLevelType w:val="hybridMultilevel"/>
    <w:tmpl w:val="53CE9EEC"/>
    <w:lvl w:ilvl="0" w:tplc="3E9AF2F8">
      <w:start w:val="1"/>
      <w:numFmt w:val="decimal"/>
      <w:lvlText w:val="%1."/>
      <w:lvlJc w:val="left"/>
      <w:pPr>
        <w:ind w:left="820" w:hanging="720"/>
        <w:jc w:val="left"/>
      </w:pPr>
      <w:rPr>
        <w:rFonts w:ascii="Arial" w:eastAsia="Arial" w:hAnsi="Arial" w:cs="Arial" w:hint="default"/>
        <w:spacing w:val="-14"/>
        <w:w w:val="100"/>
        <w:sz w:val="24"/>
        <w:szCs w:val="24"/>
      </w:rPr>
    </w:lvl>
    <w:lvl w:ilvl="1" w:tplc="9640A7A0">
      <w:numFmt w:val="bullet"/>
      <w:lvlText w:val="•"/>
      <w:lvlJc w:val="left"/>
      <w:pPr>
        <w:ind w:left="1768" w:hanging="720"/>
      </w:pPr>
      <w:rPr>
        <w:rFonts w:hint="default"/>
      </w:rPr>
    </w:lvl>
    <w:lvl w:ilvl="2" w:tplc="2F7ADD20">
      <w:numFmt w:val="bullet"/>
      <w:lvlText w:val="•"/>
      <w:lvlJc w:val="left"/>
      <w:pPr>
        <w:ind w:left="2716" w:hanging="720"/>
      </w:pPr>
      <w:rPr>
        <w:rFonts w:hint="default"/>
      </w:rPr>
    </w:lvl>
    <w:lvl w:ilvl="3" w:tplc="B63A55B8">
      <w:numFmt w:val="bullet"/>
      <w:lvlText w:val="•"/>
      <w:lvlJc w:val="left"/>
      <w:pPr>
        <w:ind w:left="3664" w:hanging="720"/>
      </w:pPr>
      <w:rPr>
        <w:rFonts w:hint="default"/>
      </w:rPr>
    </w:lvl>
    <w:lvl w:ilvl="4" w:tplc="CECAB316">
      <w:numFmt w:val="bullet"/>
      <w:lvlText w:val="•"/>
      <w:lvlJc w:val="left"/>
      <w:pPr>
        <w:ind w:left="4612" w:hanging="720"/>
      </w:pPr>
      <w:rPr>
        <w:rFonts w:hint="default"/>
      </w:rPr>
    </w:lvl>
    <w:lvl w:ilvl="5" w:tplc="C27E1538">
      <w:numFmt w:val="bullet"/>
      <w:lvlText w:val="•"/>
      <w:lvlJc w:val="left"/>
      <w:pPr>
        <w:ind w:left="5560" w:hanging="720"/>
      </w:pPr>
      <w:rPr>
        <w:rFonts w:hint="default"/>
      </w:rPr>
    </w:lvl>
    <w:lvl w:ilvl="6" w:tplc="6CF8EDEE">
      <w:numFmt w:val="bullet"/>
      <w:lvlText w:val="•"/>
      <w:lvlJc w:val="left"/>
      <w:pPr>
        <w:ind w:left="6508" w:hanging="720"/>
      </w:pPr>
      <w:rPr>
        <w:rFonts w:hint="default"/>
      </w:rPr>
    </w:lvl>
    <w:lvl w:ilvl="7" w:tplc="5E6E1020">
      <w:numFmt w:val="bullet"/>
      <w:lvlText w:val="•"/>
      <w:lvlJc w:val="left"/>
      <w:pPr>
        <w:ind w:left="7456" w:hanging="720"/>
      </w:pPr>
      <w:rPr>
        <w:rFonts w:hint="default"/>
      </w:rPr>
    </w:lvl>
    <w:lvl w:ilvl="8" w:tplc="F07EC8A0">
      <w:numFmt w:val="bullet"/>
      <w:lvlText w:val="•"/>
      <w:lvlJc w:val="left"/>
      <w:pPr>
        <w:ind w:left="8404" w:hanging="720"/>
      </w:pPr>
      <w:rPr>
        <w:rFonts w:hint="default"/>
      </w:rPr>
    </w:lvl>
  </w:abstractNum>
  <w:abstractNum w:abstractNumId="3" w15:restartNumberingAfterBreak="0">
    <w:nsid w:val="17EE3B01"/>
    <w:multiLevelType w:val="hybridMultilevel"/>
    <w:tmpl w:val="AA8676A0"/>
    <w:lvl w:ilvl="0" w:tplc="67D49ADE">
      <w:start w:val="1"/>
      <w:numFmt w:val="decimal"/>
      <w:lvlText w:val="(%1)"/>
      <w:lvlJc w:val="left"/>
      <w:pPr>
        <w:ind w:left="1900" w:hanging="360"/>
        <w:jc w:val="left"/>
      </w:pPr>
      <w:rPr>
        <w:rFonts w:ascii="Arial" w:eastAsia="Arial" w:hAnsi="Arial" w:cs="Arial" w:hint="default"/>
        <w:w w:val="100"/>
        <w:sz w:val="24"/>
        <w:szCs w:val="24"/>
      </w:rPr>
    </w:lvl>
    <w:lvl w:ilvl="1" w:tplc="B860ECF6">
      <w:numFmt w:val="bullet"/>
      <w:lvlText w:val="•"/>
      <w:lvlJc w:val="left"/>
      <w:pPr>
        <w:ind w:left="2740" w:hanging="360"/>
      </w:pPr>
      <w:rPr>
        <w:rFonts w:hint="default"/>
      </w:rPr>
    </w:lvl>
    <w:lvl w:ilvl="2" w:tplc="17824B5A">
      <w:numFmt w:val="bullet"/>
      <w:lvlText w:val="•"/>
      <w:lvlJc w:val="left"/>
      <w:pPr>
        <w:ind w:left="3580" w:hanging="360"/>
      </w:pPr>
      <w:rPr>
        <w:rFonts w:hint="default"/>
      </w:rPr>
    </w:lvl>
    <w:lvl w:ilvl="3" w:tplc="54F4866E">
      <w:numFmt w:val="bullet"/>
      <w:lvlText w:val="•"/>
      <w:lvlJc w:val="left"/>
      <w:pPr>
        <w:ind w:left="4420" w:hanging="360"/>
      </w:pPr>
      <w:rPr>
        <w:rFonts w:hint="default"/>
      </w:rPr>
    </w:lvl>
    <w:lvl w:ilvl="4" w:tplc="8B3855E0">
      <w:numFmt w:val="bullet"/>
      <w:lvlText w:val="•"/>
      <w:lvlJc w:val="left"/>
      <w:pPr>
        <w:ind w:left="5260" w:hanging="360"/>
      </w:pPr>
      <w:rPr>
        <w:rFonts w:hint="default"/>
      </w:rPr>
    </w:lvl>
    <w:lvl w:ilvl="5" w:tplc="06DC7BEC">
      <w:numFmt w:val="bullet"/>
      <w:lvlText w:val="•"/>
      <w:lvlJc w:val="left"/>
      <w:pPr>
        <w:ind w:left="6100" w:hanging="360"/>
      </w:pPr>
      <w:rPr>
        <w:rFonts w:hint="default"/>
      </w:rPr>
    </w:lvl>
    <w:lvl w:ilvl="6" w:tplc="A45281AA">
      <w:numFmt w:val="bullet"/>
      <w:lvlText w:val="•"/>
      <w:lvlJc w:val="left"/>
      <w:pPr>
        <w:ind w:left="6940" w:hanging="360"/>
      </w:pPr>
      <w:rPr>
        <w:rFonts w:hint="default"/>
      </w:rPr>
    </w:lvl>
    <w:lvl w:ilvl="7" w:tplc="DD500988">
      <w:numFmt w:val="bullet"/>
      <w:lvlText w:val="•"/>
      <w:lvlJc w:val="left"/>
      <w:pPr>
        <w:ind w:left="7780" w:hanging="360"/>
      </w:pPr>
      <w:rPr>
        <w:rFonts w:hint="default"/>
      </w:rPr>
    </w:lvl>
    <w:lvl w:ilvl="8" w:tplc="16A86E28">
      <w:numFmt w:val="bullet"/>
      <w:lvlText w:val="•"/>
      <w:lvlJc w:val="left"/>
      <w:pPr>
        <w:ind w:left="8620" w:hanging="360"/>
      </w:pPr>
      <w:rPr>
        <w:rFonts w:hint="default"/>
      </w:rPr>
    </w:lvl>
  </w:abstractNum>
  <w:abstractNum w:abstractNumId="4" w15:restartNumberingAfterBreak="0">
    <w:nsid w:val="1B375305"/>
    <w:multiLevelType w:val="hybridMultilevel"/>
    <w:tmpl w:val="706A2082"/>
    <w:lvl w:ilvl="0" w:tplc="730E5D98">
      <w:start w:val="1"/>
      <w:numFmt w:val="decimal"/>
      <w:lvlText w:val="%1."/>
      <w:lvlJc w:val="left"/>
      <w:pPr>
        <w:ind w:left="820" w:hanging="720"/>
        <w:jc w:val="left"/>
      </w:pPr>
      <w:rPr>
        <w:rFonts w:ascii="Arial" w:eastAsia="Arial" w:hAnsi="Arial" w:cs="Arial" w:hint="default"/>
        <w:spacing w:val="-22"/>
        <w:w w:val="100"/>
        <w:sz w:val="24"/>
        <w:szCs w:val="24"/>
      </w:rPr>
    </w:lvl>
    <w:lvl w:ilvl="1" w:tplc="009A8018">
      <w:numFmt w:val="bullet"/>
      <w:lvlText w:val="•"/>
      <w:lvlJc w:val="left"/>
      <w:pPr>
        <w:ind w:left="1768" w:hanging="720"/>
      </w:pPr>
      <w:rPr>
        <w:rFonts w:hint="default"/>
      </w:rPr>
    </w:lvl>
    <w:lvl w:ilvl="2" w:tplc="A2F8898A">
      <w:numFmt w:val="bullet"/>
      <w:lvlText w:val="•"/>
      <w:lvlJc w:val="left"/>
      <w:pPr>
        <w:ind w:left="2716" w:hanging="720"/>
      </w:pPr>
      <w:rPr>
        <w:rFonts w:hint="default"/>
      </w:rPr>
    </w:lvl>
    <w:lvl w:ilvl="3" w:tplc="D4787D2C">
      <w:numFmt w:val="bullet"/>
      <w:lvlText w:val="•"/>
      <w:lvlJc w:val="left"/>
      <w:pPr>
        <w:ind w:left="3664" w:hanging="720"/>
      </w:pPr>
      <w:rPr>
        <w:rFonts w:hint="default"/>
      </w:rPr>
    </w:lvl>
    <w:lvl w:ilvl="4" w:tplc="A7FE4CCE">
      <w:numFmt w:val="bullet"/>
      <w:lvlText w:val="•"/>
      <w:lvlJc w:val="left"/>
      <w:pPr>
        <w:ind w:left="4612" w:hanging="720"/>
      </w:pPr>
      <w:rPr>
        <w:rFonts w:hint="default"/>
      </w:rPr>
    </w:lvl>
    <w:lvl w:ilvl="5" w:tplc="CB88D842">
      <w:numFmt w:val="bullet"/>
      <w:lvlText w:val="•"/>
      <w:lvlJc w:val="left"/>
      <w:pPr>
        <w:ind w:left="5560" w:hanging="720"/>
      </w:pPr>
      <w:rPr>
        <w:rFonts w:hint="default"/>
      </w:rPr>
    </w:lvl>
    <w:lvl w:ilvl="6" w:tplc="E12A9E84">
      <w:numFmt w:val="bullet"/>
      <w:lvlText w:val="•"/>
      <w:lvlJc w:val="left"/>
      <w:pPr>
        <w:ind w:left="6508" w:hanging="720"/>
      </w:pPr>
      <w:rPr>
        <w:rFonts w:hint="default"/>
      </w:rPr>
    </w:lvl>
    <w:lvl w:ilvl="7" w:tplc="DCCE8E94">
      <w:numFmt w:val="bullet"/>
      <w:lvlText w:val="•"/>
      <w:lvlJc w:val="left"/>
      <w:pPr>
        <w:ind w:left="7456" w:hanging="720"/>
      </w:pPr>
      <w:rPr>
        <w:rFonts w:hint="default"/>
      </w:rPr>
    </w:lvl>
    <w:lvl w:ilvl="8" w:tplc="6890B52C">
      <w:numFmt w:val="bullet"/>
      <w:lvlText w:val="•"/>
      <w:lvlJc w:val="left"/>
      <w:pPr>
        <w:ind w:left="8404" w:hanging="720"/>
      </w:pPr>
      <w:rPr>
        <w:rFonts w:hint="default"/>
      </w:rPr>
    </w:lvl>
  </w:abstractNum>
  <w:abstractNum w:abstractNumId="5" w15:restartNumberingAfterBreak="0">
    <w:nsid w:val="2801651A"/>
    <w:multiLevelType w:val="hybridMultilevel"/>
    <w:tmpl w:val="E67A702A"/>
    <w:lvl w:ilvl="0" w:tplc="7D861CB2">
      <w:start w:val="1"/>
      <w:numFmt w:val="decimal"/>
      <w:lvlText w:val="%1."/>
      <w:lvlJc w:val="left"/>
      <w:pPr>
        <w:ind w:left="820" w:hanging="720"/>
        <w:jc w:val="left"/>
      </w:pPr>
      <w:rPr>
        <w:rFonts w:ascii="Arial" w:eastAsia="Arial" w:hAnsi="Arial" w:cs="Arial" w:hint="default"/>
        <w:spacing w:val="-33"/>
        <w:w w:val="100"/>
        <w:sz w:val="24"/>
        <w:szCs w:val="24"/>
      </w:rPr>
    </w:lvl>
    <w:lvl w:ilvl="1" w:tplc="23D06ED4">
      <w:start w:val="1"/>
      <w:numFmt w:val="lowerLetter"/>
      <w:lvlText w:val="(%2)"/>
      <w:lvlJc w:val="left"/>
      <w:pPr>
        <w:ind w:left="820" w:hanging="397"/>
        <w:jc w:val="left"/>
      </w:pPr>
      <w:rPr>
        <w:rFonts w:ascii="Arial" w:eastAsia="Arial" w:hAnsi="Arial" w:cs="Arial" w:hint="default"/>
        <w:spacing w:val="-31"/>
        <w:w w:val="100"/>
        <w:sz w:val="24"/>
        <w:szCs w:val="24"/>
      </w:rPr>
    </w:lvl>
    <w:lvl w:ilvl="2" w:tplc="58284CAA">
      <w:numFmt w:val="bullet"/>
      <w:lvlText w:val="•"/>
      <w:lvlJc w:val="left"/>
      <w:pPr>
        <w:ind w:left="2716" w:hanging="397"/>
      </w:pPr>
      <w:rPr>
        <w:rFonts w:hint="default"/>
      </w:rPr>
    </w:lvl>
    <w:lvl w:ilvl="3" w:tplc="97CE4BE2">
      <w:numFmt w:val="bullet"/>
      <w:lvlText w:val="•"/>
      <w:lvlJc w:val="left"/>
      <w:pPr>
        <w:ind w:left="3664" w:hanging="397"/>
      </w:pPr>
      <w:rPr>
        <w:rFonts w:hint="default"/>
      </w:rPr>
    </w:lvl>
    <w:lvl w:ilvl="4" w:tplc="AAF62416">
      <w:numFmt w:val="bullet"/>
      <w:lvlText w:val="•"/>
      <w:lvlJc w:val="left"/>
      <w:pPr>
        <w:ind w:left="4612" w:hanging="397"/>
      </w:pPr>
      <w:rPr>
        <w:rFonts w:hint="default"/>
      </w:rPr>
    </w:lvl>
    <w:lvl w:ilvl="5" w:tplc="BB985BD0">
      <w:numFmt w:val="bullet"/>
      <w:lvlText w:val="•"/>
      <w:lvlJc w:val="left"/>
      <w:pPr>
        <w:ind w:left="5560" w:hanging="397"/>
      </w:pPr>
      <w:rPr>
        <w:rFonts w:hint="default"/>
      </w:rPr>
    </w:lvl>
    <w:lvl w:ilvl="6" w:tplc="B01E2224">
      <w:numFmt w:val="bullet"/>
      <w:lvlText w:val="•"/>
      <w:lvlJc w:val="left"/>
      <w:pPr>
        <w:ind w:left="6508" w:hanging="397"/>
      </w:pPr>
      <w:rPr>
        <w:rFonts w:hint="default"/>
      </w:rPr>
    </w:lvl>
    <w:lvl w:ilvl="7" w:tplc="1C9857FA">
      <w:numFmt w:val="bullet"/>
      <w:lvlText w:val="•"/>
      <w:lvlJc w:val="left"/>
      <w:pPr>
        <w:ind w:left="7456" w:hanging="397"/>
      </w:pPr>
      <w:rPr>
        <w:rFonts w:hint="default"/>
      </w:rPr>
    </w:lvl>
    <w:lvl w:ilvl="8" w:tplc="8E42FDAC">
      <w:numFmt w:val="bullet"/>
      <w:lvlText w:val="•"/>
      <w:lvlJc w:val="left"/>
      <w:pPr>
        <w:ind w:left="8404" w:hanging="397"/>
      </w:pPr>
      <w:rPr>
        <w:rFonts w:hint="default"/>
      </w:rPr>
    </w:lvl>
  </w:abstractNum>
  <w:abstractNum w:abstractNumId="6" w15:restartNumberingAfterBreak="0">
    <w:nsid w:val="2AD320D9"/>
    <w:multiLevelType w:val="hybridMultilevel"/>
    <w:tmpl w:val="D86AFA68"/>
    <w:lvl w:ilvl="0" w:tplc="FCEEBCD6">
      <w:start w:val="1"/>
      <w:numFmt w:val="decimal"/>
      <w:lvlText w:val="(%1)"/>
      <w:lvlJc w:val="left"/>
      <w:pPr>
        <w:ind w:left="1900" w:hanging="360"/>
        <w:jc w:val="left"/>
      </w:pPr>
      <w:rPr>
        <w:rFonts w:ascii="Arial" w:eastAsia="Arial" w:hAnsi="Arial" w:cs="Arial" w:hint="default"/>
        <w:w w:val="100"/>
        <w:sz w:val="24"/>
        <w:szCs w:val="24"/>
      </w:rPr>
    </w:lvl>
    <w:lvl w:ilvl="1" w:tplc="D4EAC1D0">
      <w:numFmt w:val="bullet"/>
      <w:lvlText w:val="•"/>
      <w:lvlJc w:val="left"/>
      <w:pPr>
        <w:ind w:left="2740" w:hanging="360"/>
      </w:pPr>
      <w:rPr>
        <w:rFonts w:hint="default"/>
      </w:rPr>
    </w:lvl>
    <w:lvl w:ilvl="2" w:tplc="FB8485C4">
      <w:numFmt w:val="bullet"/>
      <w:lvlText w:val="•"/>
      <w:lvlJc w:val="left"/>
      <w:pPr>
        <w:ind w:left="3580" w:hanging="360"/>
      </w:pPr>
      <w:rPr>
        <w:rFonts w:hint="default"/>
      </w:rPr>
    </w:lvl>
    <w:lvl w:ilvl="3" w:tplc="1EC6F182">
      <w:numFmt w:val="bullet"/>
      <w:lvlText w:val="•"/>
      <w:lvlJc w:val="left"/>
      <w:pPr>
        <w:ind w:left="4420" w:hanging="360"/>
      </w:pPr>
      <w:rPr>
        <w:rFonts w:hint="default"/>
      </w:rPr>
    </w:lvl>
    <w:lvl w:ilvl="4" w:tplc="9948D8F6">
      <w:numFmt w:val="bullet"/>
      <w:lvlText w:val="•"/>
      <w:lvlJc w:val="left"/>
      <w:pPr>
        <w:ind w:left="5260" w:hanging="360"/>
      </w:pPr>
      <w:rPr>
        <w:rFonts w:hint="default"/>
      </w:rPr>
    </w:lvl>
    <w:lvl w:ilvl="5" w:tplc="15C2FECA">
      <w:numFmt w:val="bullet"/>
      <w:lvlText w:val="•"/>
      <w:lvlJc w:val="left"/>
      <w:pPr>
        <w:ind w:left="6100" w:hanging="360"/>
      </w:pPr>
      <w:rPr>
        <w:rFonts w:hint="default"/>
      </w:rPr>
    </w:lvl>
    <w:lvl w:ilvl="6" w:tplc="1B0E4620">
      <w:numFmt w:val="bullet"/>
      <w:lvlText w:val="•"/>
      <w:lvlJc w:val="left"/>
      <w:pPr>
        <w:ind w:left="6940" w:hanging="360"/>
      </w:pPr>
      <w:rPr>
        <w:rFonts w:hint="default"/>
      </w:rPr>
    </w:lvl>
    <w:lvl w:ilvl="7" w:tplc="AD60E048">
      <w:numFmt w:val="bullet"/>
      <w:lvlText w:val="•"/>
      <w:lvlJc w:val="left"/>
      <w:pPr>
        <w:ind w:left="7780" w:hanging="360"/>
      </w:pPr>
      <w:rPr>
        <w:rFonts w:hint="default"/>
      </w:rPr>
    </w:lvl>
    <w:lvl w:ilvl="8" w:tplc="CDC213CC">
      <w:numFmt w:val="bullet"/>
      <w:lvlText w:val="•"/>
      <w:lvlJc w:val="left"/>
      <w:pPr>
        <w:ind w:left="8620" w:hanging="360"/>
      </w:pPr>
      <w:rPr>
        <w:rFonts w:hint="default"/>
      </w:rPr>
    </w:lvl>
  </w:abstractNum>
  <w:abstractNum w:abstractNumId="7" w15:restartNumberingAfterBreak="0">
    <w:nsid w:val="2B9E07E4"/>
    <w:multiLevelType w:val="hybridMultilevel"/>
    <w:tmpl w:val="CFC2D6A0"/>
    <w:lvl w:ilvl="0" w:tplc="638A25FC">
      <w:start w:val="1"/>
      <w:numFmt w:val="decimal"/>
      <w:lvlText w:val="%1."/>
      <w:lvlJc w:val="left"/>
      <w:pPr>
        <w:ind w:left="820" w:hanging="720"/>
        <w:jc w:val="left"/>
      </w:pPr>
      <w:rPr>
        <w:rFonts w:ascii="Arial" w:eastAsia="Arial" w:hAnsi="Arial" w:cs="Arial" w:hint="default"/>
        <w:spacing w:val="-25"/>
        <w:w w:val="100"/>
        <w:sz w:val="24"/>
        <w:szCs w:val="24"/>
      </w:rPr>
    </w:lvl>
    <w:lvl w:ilvl="1" w:tplc="A4FE4BB2">
      <w:numFmt w:val="bullet"/>
      <w:lvlText w:val="•"/>
      <w:lvlJc w:val="left"/>
      <w:pPr>
        <w:ind w:left="1768" w:hanging="720"/>
      </w:pPr>
      <w:rPr>
        <w:rFonts w:hint="default"/>
      </w:rPr>
    </w:lvl>
    <w:lvl w:ilvl="2" w:tplc="44B8A468">
      <w:numFmt w:val="bullet"/>
      <w:lvlText w:val="•"/>
      <w:lvlJc w:val="left"/>
      <w:pPr>
        <w:ind w:left="2716" w:hanging="720"/>
      </w:pPr>
      <w:rPr>
        <w:rFonts w:hint="default"/>
      </w:rPr>
    </w:lvl>
    <w:lvl w:ilvl="3" w:tplc="D2BAAE74">
      <w:numFmt w:val="bullet"/>
      <w:lvlText w:val="•"/>
      <w:lvlJc w:val="left"/>
      <w:pPr>
        <w:ind w:left="3664" w:hanging="720"/>
      </w:pPr>
      <w:rPr>
        <w:rFonts w:hint="default"/>
      </w:rPr>
    </w:lvl>
    <w:lvl w:ilvl="4" w:tplc="349CD0F0">
      <w:numFmt w:val="bullet"/>
      <w:lvlText w:val="•"/>
      <w:lvlJc w:val="left"/>
      <w:pPr>
        <w:ind w:left="4612" w:hanging="720"/>
      </w:pPr>
      <w:rPr>
        <w:rFonts w:hint="default"/>
      </w:rPr>
    </w:lvl>
    <w:lvl w:ilvl="5" w:tplc="238AD964">
      <w:numFmt w:val="bullet"/>
      <w:lvlText w:val="•"/>
      <w:lvlJc w:val="left"/>
      <w:pPr>
        <w:ind w:left="5560" w:hanging="720"/>
      </w:pPr>
      <w:rPr>
        <w:rFonts w:hint="default"/>
      </w:rPr>
    </w:lvl>
    <w:lvl w:ilvl="6" w:tplc="7B7CD8C2">
      <w:numFmt w:val="bullet"/>
      <w:lvlText w:val="•"/>
      <w:lvlJc w:val="left"/>
      <w:pPr>
        <w:ind w:left="6508" w:hanging="720"/>
      </w:pPr>
      <w:rPr>
        <w:rFonts w:hint="default"/>
      </w:rPr>
    </w:lvl>
    <w:lvl w:ilvl="7" w:tplc="42ECD124">
      <w:numFmt w:val="bullet"/>
      <w:lvlText w:val="•"/>
      <w:lvlJc w:val="left"/>
      <w:pPr>
        <w:ind w:left="7456" w:hanging="720"/>
      </w:pPr>
      <w:rPr>
        <w:rFonts w:hint="default"/>
      </w:rPr>
    </w:lvl>
    <w:lvl w:ilvl="8" w:tplc="E5A6BF1E">
      <w:numFmt w:val="bullet"/>
      <w:lvlText w:val="•"/>
      <w:lvlJc w:val="left"/>
      <w:pPr>
        <w:ind w:left="8404" w:hanging="720"/>
      </w:pPr>
      <w:rPr>
        <w:rFonts w:hint="default"/>
      </w:rPr>
    </w:lvl>
  </w:abstractNum>
  <w:abstractNum w:abstractNumId="8" w15:restartNumberingAfterBreak="0">
    <w:nsid w:val="2E187FD0"/>
    <w:multiLevelType w:val="hybridMultilevel"/>
    <w:tmpl w:val="6724526C"/>
    <w:lvl w:ilvl="0" w:tplc="692C589E">
      <w:start w:val="1"/>
      <w:numFmt w:val="decimal"/>
      <w:lvlText w:val="%1."/>
      <w:lvlJc w:val="left"/>
      <w:pPr>
        <w:ind w:left="820" w:hanging="720"/>
        <w:jc w:val="left"/>
      </w:pPr>
      <w:rPr>
        <w:rFonts w:ascii="Arial" w:eastAsia="Arial" w:hAnsi="Arial" w:cs="Arial" w:hint="default"/>
        <w:spacing w:val="-28"/>
        <w:w w:val="100"/>
        <w:sz w:val="24"/>
        <w:szCs w:val="24"/>
      </w:rPr>
    </w:lvl>
    <w:lvl w:ilvl="1" w:tplc="FAFC47E2">
      <w:start w:val="1"/>
      <w:numFmt w:val="lowerLetter"/>
      <w:lvlText w:val="%2)"/>
      <w:lvlJc w:val="left"/>
      <w:pPr>
        <w:ind w:left="1540" w:hanging="720"/>
        <w:jc w:val="left"/>
      </w:pPr>
      <w:rPr>
        <w:rFonts w:ascii="Arial" w:eastAsia="Arial" w:hAnsi="Arial" w:cs="Arial" w:hint="default"/>
        <w:w w:val="100"/>
        <w:sz w:val="24"/>
        <w:szCs w:val="24"/>
      </w:rPr>
    </w:lvl>
    <w:lvl w:ilvl="2" w:tplc="00589356">
      <w:numFmt w:val="bullet"/>
      <w:lvlText w:val="•"/>
      <w:lvlJc w:val="left"/>
      <w:pPr>
        <w:ind w:left="2513" w:hanging="720"/>
      </w:pPr>
      <w:rPr>
        <w:rFonts w:hint="default"/>
      </w:rPr>
    </w:lvl>
    <w:lvl w:ilvl="3" w:tplc="C71AC4D8">
      <w:numFmt w:val="bullet"/>
      <w:lvlText w:val="•"/>
      <w:lvlJc w:val="left"/>
      <w:pPr>
        <w:ind w:left="3486" w:hanging="720"/>
      </w:pPr>
      <w:rPr>
        <w:rFonts w:hint="default"/>
      </w:rPr>
    </w:lvl>
    <w:lvl w:ilvl="4" w:tplc="1214EB26">
      <w:numFmt w:val="bullet"/>
      <w:lvlText w:val="•"/>
      <w:lvlJc w:val="left"/>
      <w:pPr>
        <w:ind w:left="4460" w:hanging="720"/>
      </w:pPr>
      <w:rPr>
        <w:rFonts w:hint="default"/>
      </w:rPr>
    </w:lvl>
    <w:lvl w:ilvl="5" w:tplc="A5E00EAE">
      <w:numFmt w:val="bullet"/>
      <w:lvlText w:val="•"/>
      <w:lvlJc w:val="left"/>
      <w:pPr>
        <w:ind w:left="5433" w:hanging="720"/>
      </w:pPr>
      <w:rPr>
        <w:rFonts w:hint="default"/>
      </w:rPr>
    </w:lvl>
    <w:lvl w:ilvl="6" w:tplc="96EA36A0">
      <w:numFmt w:val="bullet"/>
      <w:lvlText w:val="•"/>
      <w:lvlJc w:val="left"/>
      <w:pPr>
        <w:ind w:left="6406" w:hanging="720"/>
      </w:pPr>
      <w:rPr>
        <w:rFonts w:hint="default"/>
      </w:rPr>
    </w:lvl>
    <w:lvl w:ilvl="7" w:tplc="F68AB4D8">
      <w:numFmt w:val="bullet"/>
      <w:lvlText w:val="•"/>
      <w:lvlJc w:val="left"/>
      <w:pPr>
        <w:ind w:left="7380" w:hanging="720"/>
      </w:pPr>
      <w:rPr>
        <w:rFonts w:hint="default"/>
      </w:rPr>
    </w:lvl>
    <w:lvl w:ilvl="8" w:tplc="471C6C6E">
      <w:numFmt w:val="bullet"/>
      <w:lvlText w:val="•"/>
      <w:lvlJc w:val="left"/>
      <w:pPr>
        <w:ind w:left="8353" w:hanging="720"/>
      </w:pPr>
      <w:rPr>
        <w:rFonts w:hint="default"/>
      </w:rPr>
    </w:lvl>
  </w:abstractNum>
  <w:abstractNum w:abstractNumId="9" w15:restartNumberingAfterBreak="0">
    <w:nsid w:val="3B2A6A6F"/>
    <w:multiLevelType w:val="hybridMultilevel"/>
    <w:tmpl w:val="F15617B0"/>
    <w:lvl w:ilvl="0" w:tplc="222066BE">
      <w:start w:val="5"/>
      <w:numFmt w:val="decimal"/>
      <w:lvlText w:val="%1."/>
      <w:lvlJc w:val="left"/>
      <w:pPr>
        <w:ind w:left="820" w:hanging="720"/>
        <w:jc w:val="left"/>
      </w:pPr>
      <w:rPr>
        <w:rFonts w:ascii="Arial" w:eastAsia="Arial" w:hAnsi="Arial" w:cs="Arial" w:hint="default"/>
        <w:spacing w:val="-26"/>
        <w:w w:val="100"/>
        <w:sz w:val="24"/>
        <w:szCs w:val="24"/>
      </w:rPr>
    </w:lvl>
    <w:lvl w:ilvl="1" w:tplc="DE9A562E">
      <w:numFmt w:val="bullet"/>
      <w:lvlText w:val="•"/>
      <w:lvlJc w:val="left"/>
      <w:pPr>
        <w:ind w:left="1180" w:hanging="360"/>
      </w:pPr>
      <w:rPr>
        <w:rFonts w:ascii="Arial" w:eastAsia="Arial" w:hAnsi="Arial" w:cs="Arial" w:hint="default"/>
        <w:spacing w:val="-2"/>
        <w:w w:val="100"/>
        <w:sz w:val="24"/>
        <w:szCs w:val="24"/>
      </w:rPr>
    </w:lvl>
    <w:lvl w:ilvl="2" w:tplc="8C9E29CC">
      <w:numFmt w:val="bullet"/>
      <w:lvlText w:val="•"/>
      <w:lvlJc w:val="left"/>
      <w:pPr>
        <w:ind w:left="2193" w:hanging="360"/>
      </w:pPr>
      <w:rPr>
        <w:rFonts w:hint="default"/>
      </w:rPr>
    </w:lvl>
    <w:lvl w:ilvl="3" w:tplc="052E07F0">
      <w:numFmt w:val="bullet"/>
      <w:lvlText w:val="•"/>
      <w:lvlJc w:val="left"/>
      <w:pPr>
        <w:ind w:left="3206" w:hanging="360"/>
      </w:pPr>
      <w:rPr>
        <w:rFonts w:hint="default"/>
      </w:rPr>
    </w:lvl>
    <w:lvl w:ilvl="4" w:tplc="06C2A7A2">
      <w:numFmt w:val="bullet"/>
      <w:lvlText w:val="•"/>
      <w:lvlJc w:val="left"/>
      <w:pPr>
        <w:ind w:left="4220" w:hanging="360"/>
      </w:pPr>
      <w:rPr>
        <w:rFonts w:hint="default"/>
      </w:rPr>
    </w:lvl>
    <w:lvl w:ilvl="5" w:tplc="842C2DD2">
      <w:numFmt w:val="bullet"/>
      <w:lvlText w:val="•"/>
      <w:lvlJc w:val="left"/>
      <w:pPr>
        <w:ind w:left="5233" w:hanging="360"/>
      </w:pPr>
      <w:rPr>
        <w:rFonts w:hint="default"/>
      </w:rPr>
    </w:lvl>
    <w:lvl w:ilvl="6" w:tplc="2D4405A6">
      <w:numFmt w:val="bullet"/>
      <w:lvlText w:val="•"/>
      <w:lvlJc w:val="left"/>
      <w:pPr>
        <w:ind w:left="6246" w:hanging="360"/>
      </w:pPr>
      <w:rPr>
        <w:rFonts w:hint="default"/>
      </w:rPr>
    </w:lvl>
    <w:lvl w:ilvl="7" w:tplc="F42A894A">
      <w:numFmt w:val="bullet"/>
      <w:lvlText w:val="•"/>
      <w:lvlJc w:val="left"/>
      <w:pPr>
        <w:ind w:left="7260" w:hanging="360"/>
      </w:pPr>
      <w:rPr>
        <w:rFonts w:hint="default"/>
      </w:rPr>
    </w:lvl>
    <w:lvl w:ilvl="8" w:tplc="76D2F438">
      <w:numFmt w:val="bullet"/>
      <w:lvlText w:val="•"/>
      <w:lvlJc w:val="left"/>
      <w:pPr>
        <w:ind w:left="8273" w:hanging="360"/>
      </w:pPr>
      <w:rPr>
        <w:rFonts w:hint="default"/>
      </w:rPr>
    </w:lvl>
  </w:abstractNum>
  <w:abstractNum w:abstractNumId="10" w15:restartNumberingAfterBreak="0">
    <w:nsid w:val="3B712B0F"/>
    <w:multiLevelType w:val="hybridMultilevel"/>
    <w:tmpl w:val="38348CEC"/>
    <w:lvl w:ilvl="0" w:tplc="C28AB940">
      <w:start w:val="1"/>
      <w:numFmt w:val="decimal"/>
      <w:lvlText w:val="%1."/>
      <w:lvlJc w:val="left"/>
      <w:pPr>
        <w:ind w:left="820" w:hanging="720"/>
        <w:jc w:val="left"/>
      </w:pPr>
      <w:rPr>
        <w:rFonts w:ascii="Arial" w:eastAsia="Arial" w:hAnsi="Arial" w:cs="Arial" w:hint="default"/>
        <w:spacing w:val="-17"/>
        <w:w w:val="100"/>
        <w:sz w:val="24"/>
        <w:szCs w:val="24"/>
      </w:rPr>
    </w:lvl>
    <w:lvl w:ilvl="1" w:tplc="6FF80D74">
      <w:numFmt w:val="bullet"/>
      <w:lvlText w:val="•"/>
      <w:lvlJc w:val="left"/>
      <w:pPr>
        <w:ind w:left="1768" w:hanging="720"/>
      </w:pPr>
      <w:rPr>
        <w:rFonts w:hint="default"/>
      </w:rPr>
    </w:lvl>
    <w:lvl w:ilvl="2" w:tplc="5C267F86">
      <w:numFmt w:val="bullet"/>
      <w:lvlText w:val="•"/>
      <w:lvlJc w:val="left"/>
      <w:pPr>
        <w:ind w:left="2716" w:hanging="720"/>
      </w:pPr>
      <w:rPr>
        <w:rFonts w:hint="default"/>
      </w:rPr>
    </w:lvl>
    <w:lvl w:ilvl="3" w:tplc="B238A1C2">
      <w:numFmt w:val="bullet"/>
      <w:lvlText w:val="•"/>
      <w:lvlJc w:val="left"/>
      <w:pPr>
        <w:ind w:left="3664" w:hanging="720"/>
      </w:pPr>
      <w:rPr>
        <w:rFonts w:hint="default"/>
      </w:rPr>
    </w:lvl>
    <w:lvl w:ilvl="4" w:tplc="28E892E6">
      <w:numFmt w:val="bullet"/>
      <w:lvlText w:val="•"/>
      <w:lvlJc w:val="left"/>
      <w:pPr>
        <w:ind w:left="4612" w:hanging="720"/>
      </w:pPr>
      <w:rPr>
        <w:rFonts w:hint="default"/>
      </w:rPr>
    </w:lvl>
    <w:lvl w:ilvl="5" w:tplc="12B4EE14">
      <w:numFmt w:val="bullet"/>
      <w:lvlText w:val="•"/>
      <w:lvlJc w:val="left"/>
      <w:pPr>
        <w:ind w:left="5560" w:hanging="720"/>
      </w:pPr>
      <w:rPr>
        <w:rFonts w:hint="default"/>
      </w:rPr>
    </w:lvl>
    <w:lvl w:ilvl="6" w:tplc="2C482F26">
      <w:numFmt w:val="bullet"/>
      <w:lvlText w:val="•"/>
      <w:lvlJc w:val="left"/>
      <w:pPr>
        <w:ind w:left="6508" w:hanging="720"/>
      </w:pPr>
      <w:rPr>
        <w:rFonts w:hint="default"/>
      </w:rPr>
    </w:lvl>
    <w:lvl w:ilvl="7" w:tplc="269A514E">
      <w:numFmt w:val="bullet"/>
      <w:lvlText w:val="•"/>
      <w:lvlJc w:val="left"/>
      <w:pPr>
        <w:ind w:left="7456" w:hanging="720"/>
      </w:pPr>
      <w:rPr>
        <w:rFonts w:hint="default"/>
      </w:rPr>
    </w:lvl>
    <w:lvl w:ilvl="8" w:tplc="89C0ECAE">
      <w:numFmt w:val="bullet"/>
      <w:lvlText w:val="•"/>
      <w:lvlJc w:val="left"/>
      <w:pPr>
        <w:ind w:left="8404" w:hanging="720"/>
      </w:pPr>
      <w:rPr>
        <w:rFonts w:hint="default"/>
      </w:rPr>
    </w:lvl>
  </w:abstractNum>
  <w:abstractNum w:abstractNumId="11" w15:restartNumberingAfterBreak="0">
    <w:nsid w:val="5AFA6D8A"/>
    <w:multiLevelType w:val="hybridMultilevel"/>
    <w:tmpl w:val="50B0F3D6"/>
    <w:lvl w:ilvl="0" w:tplc="0C56B4E4">
      <w:start w:val="1"/>
      <w:numFmt w:val="decimal"/>
      <w:lvlText w:val="(%1)"/>
      <w:lvlJc w:val="left"/>
      <w:pPr>
        <w:ind w:left="1540" w:hanging="380"/>
        <w:jc w:val="left"/>
      </w:pPr>
      <w:rPr>
        <w:rFonts w:ascii="Arial" w:eastAsia="Arial" w:hAnsi="Arial" w:cs="Arial" w:hint="default"/>
        <w:w w:val="100"/>
        <w:sz w:val="24"/>
        <w:szCs w:val="24"/>
      </w:rPr>
    </w:lvl>
    <w:lvl w:ilvl="1" w:tplc="4336CD14">
      <w:start w:val="1"/>
      <w:numFmt w:val="lowerRoman"/>
      <w:lvlText w:val="(%2)"/>
      <w:lvlJc w:val="left"/>
      <w:pPr>
        <w:ind w:left="2539" w:hanging="280"/>
        <w:jc w:val="left"/>
      </w:pPr>
      <w:rPr>
        <w:rFonts w:ascii="Arial" w:eastAsia="Arial" w:hAnsi="Arial" w:cs="Arial" w:hint="default"/>
        <w:w w:val="100"/>
        <w:sz w:val="24"/>
        <w:szCs w:val="24"/>
      </w:rPr>
    </w:lvl>
    <w:lvl w:ilvl="2" w:tplc="154A189E">
      <w:numFmt w:val="bullet"/>
      <w:lvlText w:val="•"/>
      <w:lvlJc w:val="left"/>
      <w:pPr>
        <w:ind w:left="3402" w:hanging="280"/>
      </w:pPr>
      <w:rPr>
        <w:rFonts w:hint="default"/>
      </w:rPr>
    </w:lvl>
    <w:lvl w:ilvl="3" w:tplc="D64CA702">
      <w:numFmt w:val="bullet"/>
      <w:lvlText w:val="•"/>
      <w:lvlJc w:val="left"/>
      <w:pPr>
        <w:ind w:left="4264" w:hanging="280"/>
      </w:pPr>
      <w:rPr>
        <w:rFonts w:hint="default"/>
      </w:rPr>
    </w:lvl>
    <w:lvl w:ilvl="4" w:tplc="833AD1C0">
      <w:numFmt w:val="bullet"/>
      <w:lvlText w:val="•"/>
      <w:lvlJc w:val="left"/>
      <w:pPr>
        <w:ind w:left="5126" w:hanging="280"/>
      </w:pPr>
      <w:rPr>
        <w:rFonts w:hint="default"/>
      </w:rPr>
    </w:lvl>
    <w:lvl w:ilvl="5" w:tplc="65BC3846">
      <w:numFmt w:val="bullet"/>
      <w:lvlText w:val="•"/>
      <w:lvlJc w:val="left"/>
      <w:pPr>
        <w:ind w:left="5988" w:hanging="280"/>
      </w:pPr>
      <w:rPr>
        <w:rFonts w:hint="default"/>
      </w:rPr>
    </w:lvl>
    <w:lvl w:ilvl="6" w:tplc="1E922C10">
      <w:numFmt w:val="bullet"/>
      <w:lvlText w:val="•"/>
      <w:lvlJc w:val="left"/>
      <w:pPr>
        <w:ind w:left="6851" w:hanging="280"/>
      </w:pPr>
      <w:rPr>
        <w:rFonts w:hint="default"/>
      </w:rPr>
    </w:lvl>
    <w:lvl w:ilvl="7" w:tplc="C29EB980">
      <w:numFmt w:val="bullet"/>
      <w:lvlText w:val="•"/>
      <w:lvlJc w:val="left"/>
      <w:pPr>
        <w:ind w:left="7713" w:hanging="280"/>
      </w:pPr>
      <w:rPr>
        <w:rFonts w:hint="default"/>
      </w:rPr>
    </w:lvl>
    <w:lvl w:ilvl="8" w:tplc="F9B42B22">
      <w:numFmt w:val="bullet"/>
      <w:lvlText w:val="•"/>
      <w:lvlJc w:val="left"/>
      <w:pPr>
        <w:ind w:left="8575" w:hanging="280"/>
      </w:pPr>
      <w:rPr>
        <w:rFonts w:hint="default"/>
      </w:rPr>
    </w:lvl>
  </w:abstractNum>
  <w:abstractNum w:abstractNumId="12" w15:restartNumberingAfterBreak="0">
    <w:nsid w:val="5CCF289B"/>
    <w:multiLevelType w:val="hybridMultilevel"/>
    <w:tmpl w:val="F7B8E31C"/>
    <w:lvl w:ilvl="0" w:tplc="5450D46A">
      <w:start w:val="1"/>
      <w:numFmt w:val="decimal"/>
      <w:lvlText w:val="%1."/>
      <w:lvlJc w:val="left"/>
      <w:pPr>
        <w:ind w:left="820" w:hanging="720"/>
        <w:jc w:val="left"/>
      </w:pPr>
      <w:rPr>
        <w:rFonts w:ascii="Arial" w:eastAsia="Arial" w:hAnsi="Arial" w:cs="Arial" w:hint="default"/>
        <w:spacing w:val="-23"/>
        <w:w w:val="100"/>
        <w:sz w:val="24"/>
        <w:szCs w:val="24"/>
      </w:rPr>
    </w:lvl>
    <w:lvl w:ilvl="1" w:tplc="6EA2DDAC">
      <w:numFmt w:val="bullet"/>
      <w:lvlText w:val="•"/>
      <w:lvlJc w:val="left"/>
      <w:pPr>
        <w:ind w:left="1768" w:hanging="720"/>
      </w:pPr>
      <w:rPr>
        <w:rFonts w:hint="default"/>
      </w:rPr>
    </w:lvl>
    <w:lvl w:ilvl="2" w:tplc="AE1637E6">
      <w:numFmt w:val="bullet"/>
      <w:lvlText w:val="•"/>
      <w:lvlJc w:val="left"/>
      <w:pPr>
        <w:ind w:left="2716" w:hanging="720"/>
      </w:pPr>
      <w:rPr>
        <w:rFonts w:hint="default"/>
      </w:rPr>
    </w:lvl>
    <w:lvl w:ilvl="3" w:tplc="F1889124">
      <w:numFmt w:val="bullet"/>
      <w:lvlText w:val="•"/>
      <w:lvlJc w:val="left"/>
      <w:pPr>
        <w:ind w:left="3664" w:hanging="720"/>
      </w:pPr>
      <w:rPr>
        <w:rFonts w:hint="default"/>
      </w:rPr>
    </w:lvl>
    <w:lvl w:ilvl="4" w:tplc="7EA05040">
      <w:numFmt w:val="bullet"/>
      <w:lvlText w:val="•"/>
      <w:lvlJc w:val="left"/>
      <w:pPr>
        <w:ind w:left="4612" w:hanging="720"/>
      </w:pPr>
      <w:rPr>
        <w:rFonts w:hint="default"/>
      </w:rPr>
    </w:lvl>
    <w:lvl w:ilvl="5" w:tplc="FA38C812">
      <w:numFmt w:val="bullet"/>
      <w:lvlText w:val="•"/>
      <w:lvlJc w:val="left"/>
      <w:pPr>
        <w:ind w:left="5560" w:hanging="720"/>
      </w:pPr>
      <w:rPr>
        <w:rFonts w:hint="default"/>
      </w:rPr>
    </w:lvl>
    <w:lvl w:ilvl="6" w:tplc="DD464C6C">
      <w:numFmt w:val="bullet"/>
      <w:lvlText w:val="•"/>
      <w:lvlJc w:val="left"/>
      <w:pPr>
        <w:ind w:left="6508" w:hanging="720"/>
      </w:pPr>
      <w:rPr>
        <w:rFonts w:hint="default"/>
      </w:rPr>
    </w:lvl>
    <w:lvl w:ilvl="7" w:tplc="502AD93C">
      <w:numFmt w:val="bullet"/>
      <w:lvlText w:val="•"/>
      <w:lvlJc w:val="left"/>
      <w:pPr>
        <w:ind w:left="7456" w:hanging="720"/>
      </w:pPr>
      <w:rPr>
        <w:rFonts w:hint="default"/>
      </w:rPr>
    </w:lvl>
    <w:lvl w:ilvl="8" w:tplc="8B8E5446">
      <w:numFmt w:val="bullet"/>
      <w:lvlText w:val="•"/>
      <w:lvlJc w:val="left"/>
      <w:pPr>
        <w:ind w:left="8404" w:hanging="720"/>
      </w:pPr>
      <w:rPr>
        <w:rFonts w:hint="default"/>
      </w:rPr>
    </w:lvl>
  </w:abstractNum>
  <w:num w:numId="1">
    <w:abstractNumId w:val="5"/>
  </w:num>
  <w:num w:numId="2">
    <w:abstractNumId w:val="7"/>
  </w:num>
  <w:num w:numId="3">
    <w:abstractNumId w:val="10"/>
  </w:num>
  <w:num w:numId="4">
    <w:abstractNumId w:val="8"/>
  </w:num>
  <w:num w:numId="5">
    <w:abstractNumId w:val="2"/>
  </w:num>
  <w:num w:numId="6">
    <w:abstractNumId w:val="1"/>
  </w:num>
  <w:num w:numId="7">
    <w:abstractNumId w:val="4"/>
  </w:num>
  <w:num w:numId="8">
    <w:abstractNumId w:val="0"/>
  </w:num>
  <w:num w:numId="9">
    <w:abstractNumId w:val="6"/>
  </w:num>
  <w:num w:numId="10">
    <w:abstractNumId w:val="11"/>
  </w:num>
  <w:num w:numId="11">
    <w:abstractNumId w:val="3"/>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BA4"/>
    <w:rsid w:val="00427BA4"/>
    <w:rsid w:val="00661B26"/>
    <w:rsid w:val="00866B2D"/>
    <w:rsid w:val="0094294D"/>
    <w:rsid w:val="00977BF7"/>
    <w:rsid w:val="00A319B5"/>
    <w:rsid w:val="00B2107C"/>
    <w:rsid w:val="00BE6E72"/>
    <w:rsid w:val="00F25D7B"/>
    <w:rsid w:val="00FF0A11"/>
    <w:rsid w:val="00FF3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15B8B6-18F6-4236-A626-449039227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right="269"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5601</Words>
  <Characters>31929</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Boockoff</dc:creator>
  <cp:lastModifiedBy>DANA BOOCKOFF</cp:lastModifiedBy>
  <cp:revision>2</cp:revision>
  <dcterms:created xsi:type="dcterms:W3CDTF">2023-09-13T18:16:00Z</dcterms:created>
  <dcterms:modified xsi:type="dcterms:W3CDTF">2023-09-13T18:16:00Z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2020-08-11T00:00:00Z</vt:filetime>
  </property>
  <property fmtid="{D5CDD505-2E9C-101B-9397-08002B2CF9AE}" pid="3" name="LastSaved">
    <vt:filetime>2023-01-05T00:00:00Z</vt:filetime>
  </property>
</Properties>
</file>