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BA" w:rsidRPr="00A409BA" w:rsidRDefault="00956E6C" w:rsidP="00A409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_________________</w:t>
      </w:r>
      <w:r w:rsidR="007858CC">
        <w:rPr>
          <w:rFonts w:ascii="Times New Roman" w:hAnsi="Times New Roman" w:cs="Times New Roman"/>
          <w:b/>
          <w:sz w:val="32"/>
          <w:szCs w:val="32"/>
        </w:rPr>
        <w:t xml:space="preserve"> Grade </w:t>
      </w:r>
      <w:r w:rsidR="00417602">
        <w:rPr>
          <w:rFonts w:ascii="Times New Roman" w:hAnsi="Times New Roman" w:cs="Times New Roman"/>
          <w:b/>
          <w:sz w:val="32"/>
          <w:szCs w:val="32"/>
        </w:rPr>
        <w:t>9 ELA___________________</w:t>
      </w:r>
    </w:p>
    <w:p w:rsidR="00A409BA" w:rsidRDefault="00634E3D" w:rsidP="00A409BA">
      <w:pPr>
        <w:spacing w:after="0" w:line="240" w:lineRule="auto"/>
        <w:jc w:val="center"/>
        <w:rPr>
          <w:rFonts w:ascii="Times New Roman" w:hAnsi="Times New Roman" w:cs="Times New Roman"/>
          <w:b/>
          <w:sz w:val="32"/>
          <w:szCs w:val="32"/>
        </w:rPr>
      </w:pPr>
      <w:r w:rsidRPr="00A409BA">
        <w:rPr>
          <w:rFonts w:ascii="Times New Roman" w:hAnsi="Times New Roman" w:cs="Times New Roman"/>
          <w:b/>
          <w:sz w:val="32"/>
          <w:szCs w:val="32"/>
        </w:rPr>
        <w:t xml:space="preserve">PACING GUIDE </w:t>
      </w:r>
    </w:p>
    <w:p w:rsidR="007B3666" w:rsidRPr="00A409BA" w:rsidRDefault="00956E6C" w:rsidP="00A409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w:t>
      </w:r>
      <w:r w:rsidR="00420FA0">
        <w:rPr>
          <w:rFonts w:ascii="Times New Roman" w:hAnsi="Times New Roman" w:cs="Times New Roman"/>
          <w:b/>
          <w:sz w:val="32"/>
          <w:szCs w:val="32"/>
        </w:rPr>
        <w:t>8</w:t>
      </w:r>
      <w:r>
        <w:rPr>
          <w:rFonts w:ascii="Times New Roman" w:hAnsi="Times New Roman" w:cs="Times New Roman"/>
          <w:b/>
          <w:sz w:val="32"/>
          <w:szCs w:val="32"/>
        </w:rPr>
        <w:t>-1</w:t>
      </w:r>
      <w:r w:rsidR="00420FA0">
        <w:rPr>
          <w:rFonts w:ascii="Times New Roman" w:hAnsi="Times New Roman" w:cs="Times New Roman"/>
          <w:b/>
          <w:sz w:val="32"/>
          <w:szCs w:val="32"/>
        </w:rPr>
        <w:t>9</w:t>
      </w:r>
      <w:bookmarkStart w:id="0" w:name="_GoBack"/>
      <w:bookmarkEnd w:id="0"/>
    </w:p>
    <w:tbl>
      <w:tblPr>
        <w:tblStyle w:val="TableGrid"/>
        <w:tblW w:w="0" w:type="auto"/>
        <w:tblLook w:val="04A0" w:firstRow="1" w:lastRow="0" w:firstColumn="1" w:lastColumn="0" w:noHBand="0" w:noVBand="1"/>
      </w:tblPr>
      <w:tblGrid>
        <w:gridCol w:w="2296"/>
        <w:gridCol w:w="3459"/>
        <w:gridCol w:w="3472"/>
        <w:gridCol w:w="1928"/>
        <w:gridCol w:w="2970"/>
      </w:tblGrid>
      <w:tr w:rsidR="00956E6C" w:rsidRPr="00371D9F" w:rsidTr="00956E6C">
        <w:trPr>
          <w:trHeight w:val="288"/>
        </w:trPr>
        <w:tc>
          <w:tcPr>
            <w:tcW w:w="2296" w:type="dxa"/>
            <w:vAlign w:val="center"/>
          </w:tcPr>
          <w:p w:rsidR="00956E6C" w:rsidRDefault="00956E6C" w:rsidP="00371D9F">
            <w:pPr>
              <w:jc w:val="center"/>
              <w:rPr>
                <w:rFonts w:ascii="Times New Roman" w:hAnsi="Times New Roman" w:cs="Times New Roman"/>
                <w:b/>
                <w:smallCaps/>
                <w:sz w:val="28"/>
                <w:szCs w:val="24"/>
              </w:rPr>
            </w:pPr>
          </w:p>
          <w:p w:rsidR="00956E6C" w:rsidRPr="00A409BA" w:rsidRDefault="00956E6C" w:rsidP="00371D9F">
            <w:pPr>
              <w:jc w:val="center"/>
              <w:rPr>
                <w:rFonts w:ascii="Times New Roman" w:hAnsi="Times New Roman" w:cs="Times New Roman"/>
                <w:b/>
                <w:smallCaps/>
                <w:sz w:val="28"/>
                <w:szCs w:val="24"/>
              </w:rPr>
            </w:pPr>
            <w:r>
              <w:rPr>
                <w:rFonts w:ascii="Times New Roman" w:hAnsi="Times New Roman" w:cs="Times New Roman"/>
                <w:b/>
                <w:smallCaps/>
                <w:sz w:val="28"/>
                <w:szCs w:val="24"/>
              </w:rPr>
              <w:t>Unit Name</w:t>
            </w:r>
          </w:p>
          <w:p w:rsidR="00956E6C" w:rsidRPr="00A409BA" w:rsidRDefault="00956E6C" w:rsidP="00371D9F">
            <w:pPr>
              <w:jc w:val="center"/>
              <w:rPr>
                <w:rFonts w:ascii="Times New Roman" w:hAnsi="Times New Roman" w:cs="Times New Roman"/>
                <w:b/>
                <w:smallCaps/>
                <w:sz w:val="28"/>
                <w:szCs w:val="24"/>
              </w:rPr>
            </w:pPr>
          </w:p>
        </w:tc>
        <w:tc>
          <w:tcPr>
            <w:tcW w:w="3459" w:type="dxa"/>
            <w:vAlign w:val="center"/>
          </w:tcPr>
          <w:p w:rsidR="00956E6C" w:rsidRPr="00A409BA" w:rsidRDefault="00956E6C" w:rsidP="00956E6C">
            <w:pPr>
              <w:jc w:val="center"/>
              <w:rPr>
                <w:rFonts w:ascii="Times New Roman" w:hAnsi="Times New Roman" w:cs="Times New Roman"/>
                <w:b/>
                <w:sz w:val="28"/>
                <w:szCs w:val="24"/>
              </w:rPr>
            </w:pPr>
            <w:r>
              <w:rPr>
                <w:rFonts w:ascii="Times New Roman" w:hAnsi="Times New Roman" w:cs="Times New Roman"/>
                <w:b/>
                <w:sz w:val="28"/>
                <w:szCs w:val="24"/>
              </w:rPr>
              <w:t>TOPIC</w:t>
            </w:r>
          </w:p>
        </w:tc>
        <w:tc>
          <w:tcPr>
            <w:tcW w:w="3472" w:type="dxa"/>
            <w:vAlign w:val="center"/>
          </w:tcPr>
          <w:p w:rsidR="00956E6C"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TEXTBOOK</w:t>
            </w:r>
          </w:p>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REFERENCE</w:t>
            </w:r>
          </w:p>
        </w:tc>
        <w:tc>
          <w:tcPr>
            <w:tcW w:w="1928" w:type="dxa"/>
            <w:vAlign w:val="center"/>
          </w:tcPr>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SUGGESTED DATES</w:t>
            </w:r>
          </w:p>
        </w:tc>
        <w:tc>
          <w:tcPr>
            <w:tcW w:w="2970" w:type="dxa"/>
            <w:vAlign w:val="center"/>
          </w:tcPr>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ASSESSMENTS</w:t>
            </w:r>
          </w:p>
        </w:tc>
      </w:tr>
      <w:tr w:rsidR="00956E6C" w:rsidRPr="0066228D" w:rsidTr="0066228D">
        <w:trPr>
          <w:trHeight w:val="1412"/>
        </w:trPr>
        <w:tc>
          <w:tcPr>
            <w:tcW w:w="2296" w:type="dxa"/>
            <w:vAlign w:val="center"/>
          </w:tcPr>
          <w:p w:rsidR="00956E6C" w:rsidRPr="0066228D" w:rsidRDefault="00417602" w:rsidP="008844F9">
            <w:pPr>
              <w:rPr>
                <w:rFonts w:ascii="Times New Roman" w:hAnsi="Times New Roman" w:cs="Times New Roman"/>
                <w:smallCaps/>
                <w:sz w:val="28"/>
                <w:szCs w:val="24"/>
              </w:rPr>
            </w:pPr>
            <w:r>
              <w:rPr>
                <w:rFonts w:ascii="Times New Roman" w:hAnsi="Times New Roman" w:cs="Times New Roman"/>
                <w:smallCaps/>
                <w:sz w:val="28"/>
                <w:szCs w:val="24"/>
              </w:rPr>
              <w:t>The Odyssey</w:t>
            </w:r>
          </w:p>
        </w:tc>
        <w:tc>
          <w:tcPr>
            <w:tcW w:w="3459" w:type="dxa"/>
          </w:tcPr>
          <w:p w:rsidR="0066228D" w:rsidRPr="0066228D" w:rsidRDefault="00417602" w:rsidP="0066228D">
            <w:pPr>
              <w:rPr>
                <w:rFonts w:cs="Times New Roman"/>
                <w:smallCaps/>
                <w:sz w:val="24"/>
                <w:szCs w:val="24"/>
              </w:rPr>
            </w:pPr>
            <w:r w:rsidRPr="00EA7AD5">
              <w:rPr>
                <w:rFonts w:cs="Calibri"/>
              </w:rPr>
              <w:t xml:space="preserve">Students first learned about the quest motif in grade 4. This set builds on that knowledge, as students will come to understand how great literature reflects life, and how in any journey (be it physical or metaphysical) patience is important for gaining wisdom and experience along the way. Students will explore common ideas across texts, such as how </w:t>
            </w:r>
            <w:r>
              <w:rPr>
                <w:rFonts w:cs="Calibri"/>
              </w:rPr>
              <w:t>heroes give value to their lives and how heroes’ homecomings affect the fate of others</w:t>
            </w:r>
            <w:r w:rsidRPr="00EA7AD5">
              <w:rPr>
                <w:rFonts w:cs="Calibri"/>
              </w:rPr>
              <w:t xml:space="preserve">. Students will also explore the influence that </w:t>
            </w:r>
            <w:r w:rsidRPr="00EA7AD5">
              <w:rPr>
                <w:rFonts w:cs="Calibri"/>
                <w:i/>
              </w:rPr>
              <w:t>The Odyssey</w:t>
            </w:r>
            <w:r w:rsidRPr="00EA7AD5">
              <w:rPr>
                <w:rFonts w:cs="Calibri"/>
              </w:rPr>
              <w:t xml:space="preserve"> has on modern life.</w:t>
            </w:r>
          </w:p>
          <w:p w:rsidR="0066228D" w:rsidRPr="0066228D" w:rsidRDefault="0066228D" w:rsidP="0066228D">
            <w:pPr>
              <w:rPr>
                <w:rFonts w:cs="Times New Roman"/>
                <w:smallCaps/>
                <w:sz w:val="24"/>
                <w:szCs w:val="24"/>
              </w:rPr>
            </w:pPr>
          </w:p>
        </w:tc>
        <w:tc>
          <w:tcPr>
            <w:tcW w:w="3472" w:type="dxa"/>
          </w:tcPr>
          <w:p w:rsidR="00956E6C" w:rsidRDefault="00956E6C" w:rsidP="0066228D">
            <w:pPr>
              <w:rPr>
                <w:rFonts w:cs="Times New Roman"/>
                <w:smallCaps/>
                <w:sz w:val="24"/>
                <w:szCs w:val="24"/>
              </w:rPr>
            </w:pPr>
          </w:p>
          <w:p w:rsidR="002F423A" w:rsidRPr="0066228D" w:rsidRDefault="00417602" w:rsidP="0066228D">
            <w:pPr>
              <w:rPr>
                <w:rFonts w:cs="Times New Roman"/>
                <w:smallCaps/>
                <w:sz w:val="24"/>
                <w:szCs w:val="24"/>
              </w:rPr>
            </w:pPr>
            <w:r>
              <w:rPr>
                <w:rFonts w:cs="Times New Roman"/>
                <w:smallCaps/>
                <w:sz w:val="24"/>
                <w:szCs w:val="24"/>
              </w:rPr>
              <w:t>The Odyssey and the Student Resource Packet</w:t>
            </w:r>
          </w:p>
        </w:tc>
        <w:tc>
          <w:tcPr>
            <w:tcW w:w="1928" w:type="dxa"/>
          </w:tcPr>
          <w:p w:rsidR="00956E6C" w:rsidRDefault="00956E6C" w:rsidP="0066228D">
            <w:pPr>
              <w:rPr>
                <w:rFonts w:cs="Times New Roman"/>
                <w:smallCaps/>
                <w:sz w:val="24"/>
                <w:szCs w:val="24"/>
              </w:rPr>
            </w:pPr>
          </w:p>
          <w:p w:rsidR="002F423A" w:rsidRPr="0066228D" w:rsidRDefault="00417602" w:rsidP="0066228D">
            <w:pPr>
              <w:rPr>
                <w:rFonts w:cs="Times New Roman"/>
                <w:smallCaps/>
                <w:sz w:val="24"/>
                <w:szCs w:val="24"/>
              </w:rPr>
            </w:pPr>
            <w:r>
              <w:rPr>
                <w:rFonts w:cs="Times New Roman"/>
                <w:smallCaps/>
                <w:sz w:val="24"/>
                <w:szCs w:val="24"/>
              </w:rPr>
              <w:t>August 21-October 15</w:t>
            </w:r>
          </w:p>
        </w:tc>
        <w:tc>
          <w:tcPr>
            <w:tcW w:w="2970" w:type="dxa"/>
          </w:tcPr>
          <w:p w:rsidR="00956E6C" w:rsidRDefault="00956E6C" w:rsidP="0066228D">
            <w:pPr>
              <w:rPr>
                <w:rFonts w:cs="Times New Roman"/>
                <w:smallCaps/>
                <w:sz w:val="24"/>
                <w:szCs w:val="24"/>
              </w:rPr>
            </w:pPr>
          </w:p>
          <w:p w:rsidR="008844F9" w:rsidRPr="0066228D" w:rsidRDefault="00417602" w:rsidP="008844F9">
            <w:pPr>
              <w:rPr>
                <w:rFonts w:cs="Times New Roman"/>
                <w:smallCaps/>
                <w:sz w:val="24"/>
                <w:szCs w:val="24"/>
              </w:rPr>
            </w:pPr>
            <w:r>
              <w:rPr>
                <w:rFonts w:cs="Times New Roman"/>
                <w:smallCaps/>
                <w:sz w:val="24"/>
                <w:szCs w:val="24"/>
              </w:rPr>
              <w:t>Exit Tickets, Skills Test, Presentations, Argumentative Writing, Cold Reading Tests</w:t>
            </w:r>
          </w:p>
          <w:p w:rsidR="002F423A" w:rsidRPr="0066228D" w:rsidRDefault="002F423A" w:rsidP="0066228D">
            <w:pPr>
              <w:rPr>
                <w:rFonts w:cs="Times New Roman"/>
                <w:smallCaps/>
                <w:sz w:val="24"/>
                <w:szCs w:val="24"/>
              </w:rPr>
            </w:pPr>
          </w:p>
        </w:tc>
      </w:tr>
      <w:tr w:rsidR="00956E6C" w:rsidRPr="0066228D" w:rsidTr="002F423A">
        <w:trPr>
          <w:trHeight w:val="1178"/>
        </w:trPr>
        <w:tc>
          <w:tcPr>
            <w:tcW w:w="2296" w:type="dxa"/>
            <w:vAlign w:val="center"/>
          </w:tcPr>
          <w:p w:rsidR="00956E6C" w:rsidRPr="0066228D" w:rsidRDefault="0044624E" w:rsidP="0066228D">
            <w:pPr>
              <w:rPr>
                <w:rFonts w:ascii="Times New Roman" w:hAnsi="Times New Roman" w:cs="Times New Roman"/>
                <w:smallCaps/>
                <w:sz w:val="28"/>
                <w:szCs w:val="24"/>
              </w:rPr>
            </w:pPr>
            <w:r>
              <w:rPr>
                <w:rFonts w:ascii="Times New Roman" w:hAnsi="Times New Roman" w:cs="Times New Roman"/>
                <w:smallCaps/>
                <w:sz w:val="28"/>
                <w:szCs w:val="24"/>
              </w:rPr>
              <w:t>Hope, Despair, and Memory</w:t>
            </w:r>
          </w:p>
          <w:p w:rsidR="00956E6C" w:rsidRPr="0066228D" w:rsidRDefault="00956E6C" w:rsidP="0066228D">
            <w:pPr>
              <w:rPr>
                <w:rFonts w:ascii="Times New Roman" w:hAnsi="Times New Roman" w:cs="Times New Roman"/>
                <w:smallCaps/>
                <w:sz w:val="28"/>
                <w:szCs w:val="24"/>
              </w:rPr>
            </w:pP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8156C2" w:rsidP="0066228D">
            <w:pPr>
              <w:rPr>
                <w:rFonts w:cs="Times New Roman"/>
                <w:smallCaps/>
                <w:sz w:val="24"/>
                <w:szCs w:val="24"/>
              </w:rPr>
            </w:pPr>
            <w:r>
              <w:rPr>
                <w:rFonts w:ascii="Helvetica" w:hAnsi="Helvetica" w:cs="Helvetica"/>
                <w:b/>
                <w:bCs/>
                <w:color w:val="666666"/>
                <w:shd w:val="clear" w:color="auto" w:fill="FFFFFF"/>
              </w:rPr>
              <w:t> </w:t>
            </w:r>
            <w:r>
              <w:rPr>
                <w:rFonts w:ascii="Helvetica" w:hAnsi="Helvetica" w:cs="Helvetica"/>
                <w:color w:val="666666"/>
                <w:shd w:val="clear" w:color="auto" w:fill="FFFFFF"/>
              </w:rPr>
              <w:t>Students read informational and literary texts about morality in the face of injustice. Students understand the consequences we face when we forget and the importance of remembering and memorializing tragic events. Students then express their understanding by exploring the different ways characters and historical figures have embraced humanity and created civility as a response to injustice.</w:t>
            </w:r>
          </w:p>
        </w:tc>
        <w:tc>
          <w:tcPr>
            <w:tcW w:w="3472" w:type="dxa"/>
          </w:tcPr>
          <w:p w:rsidR="00956E6C" w:rsidRDefault="00956E6C" w:rsidP="0066228D">
            <w:pPr>
              <w:rPr>
                <w:rFonts w:cs="Times New Roman"/>
                <w:smallCaps/>
                <w:sz w:val="24"/>
                <w:szCs w:val="24"/>
              </w:rPr>
            </w:pPr>
          </w:p>
          <w:p w:rsidR="0044624E" w:rsidRPr="0066228D" w:rsidRDefault="0044624E" w:rsidP="0066228D">
            <w:pPr>
              <w:rPr>
                <w:rFonts w:cs="Times New Roman"/>
                <w:smallCaps/>
                <w:sz w:val="24"/>
                <w:szCs w:val="24"/>
              </w:rPr>
            </w:pPr>
            <w:r>
              <w:rPr>
                <w:rFonts w:cs="Times New Roman"/>
                <w:smallCaps/>
                <w:sz w:val="24"/>
                <w:szCs w:val="24"/>
              </w:rPr>
              <w:t>Unit Reader and Student Resources</w:t>
            </w:r>
          </w:p>
        </w:tc>
        <w:tc>
          <w:tcPr>
            <w:tcW w:w="1928" w:type="dxa"/>
          </w:tcPr>
          <w:p w:rsidR="00956E6C" w:rsidRPr="0066228D" w:rsidRDefault="0044624E" w:rsidP="0066228D">
            <w:pPr>
              <w:rPr>
                <w:rFonts w:cs="Times New Roman"/>
                <w:smallCaps/>
                <w:sz w:val="24"/>
                <w:szCs w:val="24"/>
              </w:rPr>
            </w:pPr>
            <w:r>
              <w:rPr>
                <w:rFonts w:cs="Times New Roman"/>
                <w:smallCaps/>
                <w:sz w:val="24"/>
                <w:szCs w:val="24"/>
              </w:rPr>
              <w:t>October 16- December 20</w:t>
            </w:r>
          </w:p>
        </w:tc>
        <w:tc>
          <w:tcPr>
            <w:tcW w:w="2970" w:type="dxa"/>
          </w:tcPr>
          <w:p w:rsidR="0044624E" w:rsidRPr="0066228D" w:rsidRDefault="0044624E" w:rsidP="0044624E">
            <w:pPr>
              <w:rPr>
                <w:rFonts w:cs="Times New Roman"/>
                <w:smallCaps/>
                <w:sz w:val="24"/>
                <w:szCs w:val="24"/>
              </w:rPr>
            </w:pPr>
            <w:r>
              <w:rPr>
                <w:rFonts w:cs="Times New Roman"/>
                <w:smallCaps/>
                <w:sz w:val="24"/>
                <w:szCs w:val="24"/>
              </w:rPr>
              <w:t>Exit Tickets, Skills Test, Presentations, Argumentative Writing, Cold Reading Tests, Mid-Course Assessment, Research Paper</w:t>
            </w:r>
          </w:p>
          <w:p w:rsidR="002F423A" w:rsidRPr="0066228D" w:rsidRDefault="002F423A" w:rsidP="0066228D">
            <w:pPr>
              <w:rPr>
                <w:rFonts w:cs="Times New Roman"/>
                <w:smallCaps/>
                <w:sz w:val="24"/>
                <w:szCs w:val="24"/>
              </w:rPr>
            </w:pPr>
          </w:p>
        </w:tc>
      </w:tr>
      <w:tr w:rsidR="00956E6C" w:rsidRPr="0066228D" w:rsidTr="0066228D">
        <w:trPr>
          <w:trHeight w:val="1403"/>
        </w:trPr>
        <w:tc>
          <w:tcPr>
            <w:tcW w:w="2296" w:type="dxa"/>
            <w:vAlign w:val="center"/>
          </w:tcPr>
          <w:p w:rsidR="00956E6C" w:rsidRPr="0066228D" w:rsidRDefault="00956E6C" w:rsidP="0066228D">
            <w:pPr>
              <w:rPr>
                <w:rFonts w:ascii="Times New Roman" w:hAnsi="Times New Roman" w:cs="Times New Roman"/>
                <w:smallCaps/>
                <w:sz w:val="28"/>
                <w:szCs w:val="24"/>
              </w:rPr>
            </w:pPr>
          </w:p>
          <w:p w:rsidR="00956E6C" w:rsidRPr="0066228D" w:rsidRDefault="00417602" w:rsidP="0066228D">
            <w:pPr>
              <w:rPr>
                <w:rFonts w:ascii="Times New Roman" w:hAnsi="Times New Roman" w:cs="Times New Roman"/>
                <w:smallCaps/>
                <w:sz w:val="28"/>
                <w:szCs w:val="24"/>
              </w:rPr>
            </w:pPr>
            <w:r>
              <w:rPr>
                <w:rFonts w:ascii="Times New Roman" w:hAnsi="Times New Roman" w:cs="Times New Roman"/>
                <w:smallCaps/>
                <w:sz w:val="28"/>
                <w:szCs w:val="24"/>
              </w:rPr>
              <w:t>Romeo and Juliet</w:t>
            </w:r>
          </w:p>
        </w:tc>
        <w:tc>
          <w:tcPr>
            <w:tcW w:w="3459" w:type="dxa"/>
          </w:tcPr>
          <w:p w:rsidR="0066228D" w:rsidRPr="0066228D" w:rsidRDefault="00417602" w:rsidP="0066228D">
            <w:pPr>
              <w:rPr>
                <w:rFonts w:cs="Times New Roman"/>
                <w:sz w:val="24"/>
                <w:szCs w:val="24"/>
              </w:rPr>
            </w:pPr>
            <w:r w:rsidRPr="00EA7AD5">
              <w:rPr>
                <w:rFonts w:cs="Calibri"/>
              </w:rPr>
              <w:t>Students will explore the extent to which reaction to conflict and opposition dictate the outcomes of a situation and learn about the science and psychology behind the way teenagers think and act. They will evaluate the choices that adults and teenagers make and consider their folly as well as the tremendous influence teenagers can have. Students will come to understand that we are all responsible for the choices we make, and we must accept the consequences of our words and deeds.</w:t>
            </w:r>
          </w:p>
        </w:tc>
        <w:tc>
          <w:tcPr>
            <w:tcW w:w="3472" w:type="dxa"/>
          </w:tcPr>
          <w:p w:rsidR="00956E6C" w:rsidRDefault="00956E6C" w:rsidP="002F423A">
            <w:pPr>
              <w:rPr>
                <w:rFonts w:cs="Times New Roman"/>
                <w:sz w:val="24"/>
                <w:szCs w:val="24"/>
              </w:rPr>
            </w:pPr>
          </w:p>
          <w:p w:rsidR="0044624E" w:rsidRPr="0066228D" w:rsidRDefault="0044624E" w:rsidP="002F423A">
            <w:pPr>
              <w:rPr>
                <w:rFonts w:cs="Times New Roman"/>
                <w:sz w:val="24"/>
                <w:szCs w:val="24"/>
              </w:rPr>
            </w:pPr>
            <w:r>
              <w:rPr>
                <w:rFonts w:cs="Times New Roman"/>
                <w:sz w:val="24"/>
                <w:szCs w:val="24"/>
              </w:rPr>
              <w:t>Romeo and Juliet and Student Resource Packet</w:t>
            </w:r>
          </w:p>
        </w:tc>
        <w:tc>
          <w:tcPr>
            <w:tcW w:w="1928" w:type="dxa"/>
          </w:tcPr>
          <w:p w:rsidR="00956E6C" w:rsidRDefault="00956E6C"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January 4-March 9</w:t>
            </w:r>
          </w:p>
        </w:tc>
        <w:tc>
          <w:tcPr>
            <w:tcW w:w="2970" w:type="dxa"/>
          </w:tcPr>
          <w:p w:rsidR="0044624E" w:rsidRPr="0066228D" w:rsidRDefault="0044624E" w:rsidP="0044624E">
            <w:pPr>
              <w:rPr>
                <w:rFonts w:cs="Times New Roman"/>
                <w:smallCaps/>
                <w:sz w:val="24"/>
                <w:szCs w:val="24"/>
              </w:rPr>
            </w:pPr>
            <w:r>
              <w:rPr>
                <w:rFonts w:cs="Times New Roman"/>
                <w:smallCaps/>
                <w:sz w:val="24"/>
                <w:szCs w:val="24"/>
              </w:rPr>
              <w:t>Exit Tickets, Skills Test, Presentations, Argumentative Writing, Cold Reading Tests</w:t>
            </w:r>
          </w:p>
          <w:p w:rsidR="002F423A" w:rsidRPr="0066228D" w:rsidRDefault="002F423A" w:rsidP="0066228D">
            <w:pPr>
              <w:rPr>
                <w:rFonts w:cs="Times New Roman"/>
                <w:sz w:val="24"/>
                <w:szCs w:val="24"/>
              </w:rPr>
            </w:pPr>
          </w:p>
        </w:tc>
      </w:tr>
      <w:tr w:rsidR="00956E6C" w:rsidRPr="0066228D" w:rsidTr="0066228D">
        <w:trPr>
          <w:trHeight w:val="1250"/>
        </w:trPr>
        <w:tc>
          <w:tcPr>
            <w:tcW w:w="2296" w:type="dxa"/>
            <w:vAlign w:val="center"/>
          </w:tcPr>
          <w:p w:rsidR="00956E6C" w:rsidRPr="0066228D" w:rsidRDefault="0044624E" w:rsidP="0066228D">
            <w:pPr>
              <w:rPr>
                <w:rFonts w:ascii="Times New Roman" w:hAnsi="Times New Roman" w:cs="Times New Roman"/>
                <w:smallCaps/>
                <w:sz w:val="28"/>
                <w:szCs w:val="24"/>
              </w:rPr>
            </w:pPr>
            <w:r>
              <w:rPr>
                <w:rFonts w:ascii="Times New Roman" w:hAnsi="Times New Roman" w:cs="Times New Roman"/>
                <w:smallCaps/>
                <w:sz w:val="28"/>
                <w:szCs w:val="24"/>
              </w:rPr>
              <w:t>Fahrenheit 451</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44624E" w:rsidP="008844F9">
            <w:pPr>
              <w:rPr>
                <w:rFonts w:cs="Times New Roman"/>
                <w:sz w:val="24"/>
                <w:szCs w:val="24"/>
              </w:rPr>
            </w:pPr>
            <w:r>
              <w:rPr>
                <w:rFonts w:cs="Calibri"/>
              </w:rPr>
              <w:t>Students will continue to explore the power of language, both oral and written, to educate, transform, and manipulate. Drawing on knowledge built in earlier grades about storytelling, language, and culture, this set allows students to explore the importance of the written word for capturing and transmitting knowledge. They will also explore how censorship and illiteracy have been used as social and political weapons. Students will come to understand more deeply the importance of reading and writing and consider whether man inherently seeks knowledge.</w:t>
            </w:r>
          </w:p>
        </w:tc>
        <w:tc>
          <w:tcPr>
            <w:tcW w:w="3472" w:type="dxa"/>
          </w:tcPr>
          <w:p w:rsidR="0044624E" w:rsidRDefault="0044624E" w:rsidP="002F423A">
            <w:pPr>
              <w:rPr>
                <w:rFonts w:cs="Times New Roman"/>
                <w:sz w:val="24"/>
                <w:szCs w:val="24"/>
              </w:rPr>
            </w:pPr>
          </w:p>
          <w:p w:rsidR="00956E6C" w:rsidRPr="0066228D" w:rsidRDefault="0044624E" w:rsidP="002F423A">
            <w:pPr>
              <w:rPr>
                <w:rFonts w:cs="Times New Roman"/>
                <w:sz w:val="24"/>
                <w:szCs w:val="24"/>
              </w:rPr>
            </w:pPr>
            <w:r>
              <w:rPr>
                <w:rFonts w:cs="Times New Roman"/>
                <w:sz w:val="24"/>
                <w:szCs w:val="24"/>
              </w:rPr>
              <w:t>Fahrenheit 451 and Student Resources</w:t>
            </w:r>
          </w:p>
        </w:tc>
        <w:tc>
          <w:tcPr>
            <w:tcW w:w="1928" w:type="dxa"/>
          </w:tcPr>
          <w:p w:rsidR="00956E6C" w:rsidRDefault="00956E6C"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March 16-May 24</w:t>
            </w:r>
          </w:p>
        </w:tc>
        <w:tc>
          <w:tcPr>
            <w:tcW w:w="2970" w:type="dxa"/>
          </w:tcPr>
          <w:p w:rsidR="008844F9" w:rsidRPr="0066228D" w:rsidRDefault="008844F9" w:rsidP="008844F9">
            <w:pPr>
              <w:rPr>
                <w:rFonts w:cs="Times New Roman"/>
                <w:sz w:val="24"/>
                <w:szCs w:val="24"/>
              </w:rPr>
            </w:pPr>
          </w:p>
          <w:p w:rsidR="0044624E" w:rsidRPr="0066228D" w:rsidRDefault="0044624E" w:rsidP="0044624E">
            <w:pPr>
              <w:rPr>
                <w:rFonts w:cs="Times New Roman"/>
                <w:smallCaps/>
                <w:sz w:val="24"/>
                <w:szCs w:val="24"/>
              </w:rPr>
            </w:pPr>
            <w:r>
              <w:rPr>
                <w:rFonts w:cs="Times New Roman"/>
                <w:smallCaps/>
                <w:sz w:val="24"/>
                <w:szCs w:val="24"/>
              </w:rPr>
              <w:t>Exit Tickets, Skills Test, Presentations, Argumentative Writing, Cold Reading Tests, Research Paper</w:t>
            </w:r>
          </w:p>
          <w:p w:rsidR="002F423A" w:rsidRPr="0066228D" w:rsidRDefault="002F423A" w:rsidP="0066228D">
            <w:pPr>
              <w:rPr>
                <w:rFonts w:cs="Times New Roman"/>
                <w:sz w:val="24"/>
                <w:szCs w:val="24"/>
              </w:rPr>
            </w:pPr>
          </w:p>
        </w:tc>
      </w:tr>
      <w:tr w:rsidR="00956E6C" w:rsidRPr="0066228D" w:rsidTr="002F423A">
        <w:trPr>
          <w:trHeight w:val="1070"/>
        </w:trPr>
        <w:tc>
          <w:tcPr>
            <w:tcW w:w="2296" w:type="dxa"/>
            <w:vAlign w:val="center"/>
          </w:tcPr>
          <w:p w:rsidR="00956E6C" w:rsidRPr="0066228D" w:rsidRDefault="0044624E" w:rsidP="0066228D">
            <w:pPr>
              <w:rPr>
                <w:rFonts w:ascii="Times New Roman" w:hAnsi="Times New Roman" w:cs="Times New Roman"/>
                <w:smallCaps/>
                <w:sz w:val="28"/>
                <w:szCs w:val="24"/>
              </w:rPr>
            </w:pPr>
            <w:r>
              <w:rPr>
                <w:rFonts w:ascii="Times New Roman" w:hAnsi="Times New Roman" w:cs="Times New Roman"/>
                <w:smallCaps/>
                <w:sz w:val="28"/>
                <w:szCs w:val="24"/>
              </w:rPr>
              <w:t>Test Review</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66228D" w:rsidP="008844F9">
            <w:pPr>
              <w:rPr>
                <w:rFonts w:cs="Times New Roman"/>
                <w:sz w:val="24"/>
                <w:szCs w:val="24"/>
              </w:rPr>
            </w:pPr>
          </w:p>
        </w:tc>
        <w:tc>
          <w:tcPr>
            <w:tcW w:w="3472" w:type="dxa"/>
          </w:tcPr>
          <w:p w:rsidR="00956E6C" w:rsidRDefault="00956E6C"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Test Review Material</w:t>
            </w:r>
          </w:p>
        </w:tc>
        <w:tc>
          <w:tcPr>
            <w:tcW w:w="1928" w:type="dxa"/>
          </w:tcPr>
          <w:p w:rsidR="00956E6C" w:rsidRPr="0066228D" w:rsidRDefault="0044624E" w:rsidP="0066228D">
            <w:pPr>
              <w:rPr>
                <w:rFonts w:cs="Times New Roman"/>
                <w:sz w:val="24"/>
                <w:szCs w:val="24"/>
              </w:rPr>
            </w:pPr>
            <w:r>
              <w:rPr>
                <w:rFonts w:cs="Times New Roman"/>
                <w:sz w:val="24"/>
                <w:szCs w:val="24"/>
              </w:rPr>
              <w:t>Two Weeks Before Test</w:t>
            </w:r>
          </w:p>
        </w:tc>
        <w:tc>
          <w:tcPr>
            <w:tcW w:w="2970" w:type="dxa"/>
          </w:tcPr>
          <w:p w:rsidR="002F423A" w:rsidRDefault="002F423A"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EOC Test</w:t>
            </w:r>
          </w:p>
        </w:tc>
      </w:tr>
      <w:tr w:rsidR="00956E6C" w:rsidRPr="0066228D" w:rsidTr="002F423A">
        <w:trPr>
          <w:trHeight w:val="70"/>
        </w:trPr>
        <w:tc>
          <w:tcPr>
            <w:tcW w:w="2296" w:type="dxa"/>
            <w:vAlign w:val="center"/>
          </w:tcPr>
          <w:p w:rsidR="00956E6C" w:rsidRDefault="00956E6C" w:rsidP="008844F9">
            <w:pPr>
              <w:rPr>
                <w:rFonts w:ascii="Times New Roman" w:hAnsi="Times New Roman" w:cs="Times New Roman"/>
                <w:smallCaps/>
                <w:sz w:val="28"/>
                <w:szCs w:val="24"/>
              </w:rPr>
            </w:pPr>
          </w:p>
          <w:p w:rsidR="008844F9" w:rsidRDefault="008844F9" w:rsidP="008844F9">
            <w:pPr>
              <w:rPr>
                <w:rFonts w:ascii="Times New Roman" w:hAnsi="Times New Roman" w:cs="Times New Roman"/>
                <w:smallCaps/>
                <w:sz w:val="28"/>
                <w:szCs w:val="24"/>
              </w:rPr>
            </w:pPr>
          </w:p>
          <w:p w:rsidR="008844F9" w:rsidRDefault="008844F9" w:rsidP="008844F9">
            <w:pPr>
              <w:rPr>
                <w:rFonts w:ascii="Times New Roman" w:hAnsi="Times New Roman" w:cs="Times New Roman"/>
                <w:smallCaps/>
                <w:sz w:val="28"/>
                <w:szCs w:val="24"/>
              </w:rPr>
            </w:pPr>
          </w:p>
          <w:p w:rsidR="008844F9" w:rsidRPr="0066228D" w:rsidRDefault="008844F9" w:rsidP="008844F9">
            <w:pPr>
              <w:rPr>
                <w:rFonts w:ascii="Times New Roman" w:hAnsi="Times New Roman" w:cs="Times New Roman"/>
                <w:smallCaps/>
                <w:sz w:val="28"/>
                <w:szCs w:val="24"/>
              </w:rPr>
            </w:pPr>
          </w:p>
        </w:tc>
        <w:tc>
          <w:tcPr>
            <w:tcW w:w="3459" w:type="dxa"/>
          </w:tcPr>
          <w:p w:rsidR="00956E6C" w:rsidRPr="0066228D" w:rsidRDefault="00956E6C" w:rsidP="008844F9">
            <w:pPr>
              <w:rPr>
                <w:rFonts w:cs="Times New Roman"/>
                <w:sz w:val="24"/>
                <w:szCs w:val="24"/>
              </w:rPr>
            </w:pPr>
          </w:p>
        </w:tc>
        <w:tc>
          <w:tcPr>
            <w:tcW w:w="3472" w:type="dxa"/>
          </w:tcPr>
          <w:p w:rsidR="00956E6C" w:rsidRPr="0066228D" w:rsidRDefault="00956E6C" w:rsidP="002F423A">
            <w:pPr>
              <w:rPr>
                <w:rFonts w:cs="Times New Roman"/>
                <w:sz w:val="24"/>
                <w:szCs w:val="24"/>
              </w:rPr>
            </w:pPr>
          </w:p>
        </w:tc>
        <w:tc>
          <w:tcPr>
            <w:tcW w:w="1928" w:type="dxa"/>
          </w:tcPr>
          <w:p w:rsidR="00956E6C" w:rsidRPr="0066228D" w:rsidRDefault="00956E6C" w:rsidP="002F423A">
            <w:pPr>
              <w:rPr>
                <w:rFonts w:cs="Times New Roman"/>
                <w:sz w:val="24"/>
                <w:szCs w:val="24"/>
              </w:rPr>
            </w:pPr>
          </w:p>
        </w:tc>
        <w:tc>
          <w:tcPr>
            <w:tcW w:w="2970" w:type="dxa"/>
          </w:tcPr>
          <w:p w:rsidR="008844F9" w:rsidRPr="0066228D" w:rsidRDefault="008844F9" w:rsidP="008844F9">
            <w:pPr>
              <w:rPr>
                <w:rFonts w:cs="Times New Roman"/>
                <w:sz w:val="24"/>
                <w:szCs w:val="24"/>
              </w:rPr>
            </w:pPr>
          </w:p>
          <w:p w:rsidR="002F423A" w:rsidRPr="0066228D" w:rsidRDefault="002F423A" w:rsidP="002F423A">
            <w:pPr>
              <w:rPr>
                <w:rFonts w:cs="Times New Roman"/>
                <w:sz w:val="24"/>
                <w:szCs w:val="24"/>
              </w:rPr>
            </w:pPr>
          </w:p>
        </w:tc>
      </w:tr>
    </w:tbl>
    <w:p w:rsidR="0066228D" w:rsidRPr="0066228D" w:rsidRDefault="0066228D" w:rsidP="002F423A">
      <w:pPr>
        <w:jc w:val="center"/>
        <w:rPr>
          <w:rFonts w:ascii="Baskerville Old Face" w:hAnsi="Baskerville Old Face"/>
          <w:sz w:val="28"/>
          <w:szCs w:val="28"/>
        </w:rPr>
      </w:pPr>
    </w:p>
    <w:sectPr w:rsidR="0066228D" w:rsidRPr="0066228D" w:rsidSect="00956E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B"/>
    <w:rsid w:val="001554EC"/>
    <w:rsid w:val="002F423A"/>
    <w:rsid w:val="0031062F"/>
    <w:rsid w:val="00316050"/>
    <w:rsid w:val="00371D9F"/>
    <w:rsid w:val="00417602"/>
    <w:rsid w:val="00420FA0"/>
    <w:rsid w:val="0044624E"/>
    <w:rsid w:val="004F71A0"/>
    <w:rsid w:val="005624A5"/>
    <w:rsid w:val="0057527B"/>
    <w:rsid w:val="005B2023"/>
    <w:rsid w:val="00634E3D"/>
    <w:rsid w:val="0066228D"/>
    <w:rsid w:val="006E3C99"/>
    <w:rsid w:val="006E3D09"/>
    <w:rsid w:val="00784637"/>
    <w:rsid w:val="007858CC"/>
    <w:rsid w:val="007B3666"/>
    <w:rsid w:val="008156C2"/>
    <w:rsid w:val="008844F9"/>
    <w:rsid w:val="00891BA4"/>
    <w:rsid w:val="008E7B9E"/>
    <w:rsid w:val="00956E6C"/>
    <w:rsid w:val="009E1BE6"/>
    <w:rsid w:val="00A409BA"/>
    <w:rsid w:val="00BB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62B9"/>
  <w15:docId w15:val="{73CC03E2-8731-4E2A-8430-9AA68909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Mitzi Quinn</cp:lastModifiedBy>
  <cp:revision>4</cp:revision>
  <cp:lastPrinted>2018-08-15T13:09:00Z</cp:lastPrinted>
  <dcterms:created xsi:type="dcterms:W3CDTF">2017-08-15T18:33:00Z</dcterms:created>
  <dcterms:modified xsi:type="dcterms:W3CDTF">2018-08-15T13:10:00Z</dcterms:modified>
</cp:coreProperties>
</file>